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outlineLvl w:val="0"/>
        <w:rPr>
          <w:rFonts w:ascii="微软雅黑" w:hAnsi="微软雅黑" w:eastAsia="微软雅黑" w:cs="宋体"/>
          <w:b/>
          <w:bCs/>
          <w:color w:val="4B4B4B"/>
          <w:kern w:val="36"/>
          <w:sz w:val="30"/>
          <w:szCs w:val="30"/>
        </w:rPr>
      </w:pPr>
      <w:r>
        <w:rPr>
          <w:rFonts w:hint="eastAsia" w:ascii="微软雅黑" w:hAnsi="微软雅黑" w:eastAsia="微软雅黑" w:cs="宋体"/>
          <w:b/>
          <w:bCs/>
          <w:color w:val="4B4B4B"/>
          <w:kern w:val="36"/>
          <w:sz w:val="30"/>
          <w:szCs w:val="30"/>
        </w:rPr>
        <w:t>教育部关于2019—2021年基础学科拔尖学生培养基地建设工作的通知</w:t>
      </w:r>
    </w:p>
    <w:p>
      <w:pPr>
        <w:widowControl/>
        <w:shd w:val="clear" w:color="auto" w:fill="FFFFFF"/>
        <w:spacing w:line="480" w:lineRule="atLeast"/>
        <w:jc w:val="right"/>
        <w:rPr>
          <w:rFonts w:hint="eastAsia" w:ascii="微软雅黑" w:hAnsi="微软雅黑" w:eastAsia="微软雅黑" w:cs="宋体"/>
          <w:color w:val="4B4B4B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4"/>
          <w:szCs w:val="24"/>
        </w:rPr>
        <w:t>教高函〔2019〕14号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为贯彻全国教育大会精神，根据《教育部关于加快建设高水平本科教育全面提高人才培养能力的意见》《教育部等六部门关于实施基础学科拔尖学生培养计划2.0的意见》等相关文件精神，深入实施基础学科拔尖学生培养计划2.0（以下简称拔尖计划2.0），加快培养基础学科拔尖人才。经研究，现就2019—2021年基础学科拔尖学生培养基地建设工作通知如下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</w:t>
      </w: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27"/>
          <w:szCs w:val="27"/>
        </w:rPr>
        <w:t>一、指导思想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以习近平新时代中国特色社会主义思想为指导，深入贯彻党的十九大精神，落实全国教育大会精神，全面落实新时代全国高等学校本科教育工作会议精神，坚持立德树人，遵循基础学科拔尖创新人才成长规律，以体制机制创新和教育教学改革为重点，强化使命驱动，注重大师引领，创新学习方式，提升综合素养，促进学科交叉、科教融合，深化国际合作，科学选才鉴才相结合，进一步拓围、增量、提质、创新，对标国际先进水平，建设基础学科拔尖学生培养一流基地，着力培养未来的杰出自然科学家、社会科学家和医学科学家，提升国家硬实力、软实力和健康力，为把我国建设成为世界主要科学中心和创新高地奠定人才基础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</w:t>
      </w: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27"/>
          <w:szCs w:val="27"/>
        </w:rPr>
        <w:t>二、建设目标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2019—2021年，分年度在不同领域建设一批基础学科拔尖学生培养基地，建立健全符合不同领域基础学科拔尖学生重点培养的体制机制，引导优秀学生投身基础科学研究，形成有利于基础学科拔尖人才成长的良好氛围，实现教育理念与模式、教学内容与方法的改革创新，不断探索积累可推广的先进经验与优秀案例，初步形成中国特色、世界水平的基础学科拔尖人才培养体系，促进一批勇攀科学高峰、推动科学文化发展的优秀拔尖人才崭露头角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</w:t>
      </w: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27"/>
          <w:szCs w:val="27"/>
        </w:rPr>
        <w:t>三、基本原则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坚持超前规划，长远布局。面向国家战略需求、人类未来发展、思想文化创新和基础学科前沿，超前谋划基础学科拔尖人才培养。尊重拔尖人才成长规律，坚持长周期支持、长周期观测、长周期评价，立足长远、厚植土壤、注重培育，从长计议、循序渐进、持续投入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  <w:highlight w:val="none"/>
        </w:rPr>
        <w:t>坚持学校主体，协同联动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。以学校为培养主体，鼓励自主化、多元化探索，加大校内政策、资源整合力度，建好基础学科拔尖学生培养基地。建立有关政府部门、事业单位、人民团体等多方联动的协同工作机制，统筹优质资源，提供良好保障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坚持聚焦中心，特色发展。以人才培养为核心，推进改革、汇聚大师、整合资源，努力构建中国特色、世界水平的基础学科拔尖人才培养体系。鼓励学校基于学科特点，在自然科学、哲学社会科学、基础医学三个领域开展自主探索、实现特色发展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坚持继承创新，开放交融。在前期探索的“一制三化”（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  <w:highlight w:val="yellow"/>
        </w:rPr>
        <w:t>导师制、小班化、个性化、国际化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）等有效模式基础上，进一步推动制度创新、模式创新、机制创新，探索基础学科拔尖人才培养的中国方案。坚持国际标准，推动国内外双向合作，注重学科交叉、科教融合，促进学生中西融汇、古今贯通、文理渗透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</w:t>
      </w: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27"/>
          <w:szCs w:val="27"/>
        </w:rPr>
        <w:t>四、建设任务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基础学科拔尖学生培养基地是高校实施拔尖计划2.0的具体载体。高校要给予基础学科拔</w:t>
      </w:r>
      <w:bookmarkStart w:id="0" w:name="_GoBack"/>
      <w:bookmarkEnd w:id="0"/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尖学生培养基地充分自主权、配套特殊政策和充足财物保障。基础学科拔尖学生培养基地既可以是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  <w:highlight w:val="yellow"/>
        </w:rPr>
        <w:t>高校已经成立以培养拔尖创新人才为重点的试点学院或内设机构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，并坚持继续完善；也可以是高校学科优势突出、教学质量高的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  <w:highlight w:val="yellow"/>
        </w:rPr>
        <w:t>二级学院或单位的新设机构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；还可以是高校根据承担国家教学、科研任务的需要，组建的跨学科人才培养基地或其他教学实体。基础学科拔尖学生培养基地要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  <w:highlight w:val="yellow"/>
        </w:rPr>
        <w:t>坚持学生中心、持续改进的理念</w:t>
      </w: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，加大拔尖创新人才培养的改革创新力度。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一）科学选才。强化自主招生，创新遴选方式和评价标准，加强对各类偏才、怪才等学生的全面考察，真正发现志向远大、学术潜力大、综合能力强、心理素质好的优秀学生。不断完善科学化、多阶段的动态进出机制，对进入基地的学生进行综合考查、合理引导、科学分流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二）精心育才。加强思想政治教育和素质教育，培育爱国主义、科学道德、批判精神和创新精神等，使学生明大德、守公德、严私德。加强学科交叉融合，促进中西融汇、古今贯通、文理渗透。坚持因材施教，突出领域特色和学生特点，定制人才培养方案，灵活教学组织方式，重组教学内容和教学方法。完善学业、科研和生活导师制，给予学生全流程、全方位指导帮助。汇聚全球优质资源，促进学生与国内外学术大师深度接触合作，拓展学生的国际视野和跨文化理解沟通能力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三）厚植土壤。探索新时代书院制，汇古、今、中、外于一处，融浸、养、熏、育为一体，化学问探究和人格养成于一身。探索特色化管理运行机制，实现教授、专家治理与专业管理团队的有机结合，实现教学管理灵活高效，实现与校内外相关机构的顺畅对接。探索完善评价体系，促进各类教师潜心育人，助力各类学生健康成长、成才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</w:t>
      </w: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27"/>
          <w:szCs w:val="27"/>
        </w:rPr>
        <w:t>五、建设规划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（一）实施范围。数学、物理学、化学、生物科学、计算机科学、天文学、地理科学、大气科学、海洋科学、地球物理学、地质学、心理学、基础医学、哲学、经济学、中国语言文学、历史学。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（二）基地数量。2019—2021年，拟遴选建设260个基础学科拔尖学生培养基地，包括190个左右的理科基地、60个左右的文科基地以及10个左右的医科基地（分年度规划见附表）。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（三）培养规模。基础学科拔尖学生培养基地获批建设后，每个基地每年的招生人数原则上不超过20人。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（四）建设方式。采取高校试点先行、申报遴选、长期支持的方式，按建设规划分年度遴选基础学科拔尖学生培养基地。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</w:t>
      </w: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27"/>
          <w:szCs w:val="27"/>
        </w:rPr>
        <w:t>六、组织管理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一）统筹规划、梯次实施。根据国家经济社会发展长远需求，按照“六卓越一拔尖”计划2.0总体实施方案具体安排，教育部负责宏观指导，统筹编制基础学科拔尖学生培养基地建设规划，组建相关工作组织和专家委员会，协调国家有关部门提供配套政策支持。教育部高等教育司负责具体年度建设工作的部署，组织基础学科拔尖学生培养基地申报遴选；组织或委托相关机构或专家组织开展政策研究、人才培养机制研究等工作，实施基础学科拔尖学生培养基地跟踪监测和综合评价。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　　（二）主动作为、改革创新。相关高校是基础学科拔尖学生培养基地的建设主体，要将基地建设纳入学校总体规划，加强组织保障、政策保障和经费保障。要建立健全学生、教师、教学管理制度体系，统筹科学研究、社会实践、国际交流等各类资源，完善经费投入、使用、监管等机制，建设信息化资源和管理平台，形成有利于基础学科拔尖人才培养的优渥环境。对建设质量不高、出现严重问题的基地将进行动态调整。　</w:t>
      </w:r>
    </w:p>
    <w:p>
      <w:pPr>
        <w:widowControl/>
        <w:shd w:val="clear" w:color="auto" w:fill="FFFFFF"/>
        <w:spacing w:line="480" w:lineRule="atLeast"/>
        <w:jc w:val="righ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教育部</w:t>
      </w:r>
    </w:p>
    <w:p>
      <w:pPr>
        <w:widowControl/>
        <w:shd w:val="clear" w:color="auto" w:fill="FFFFFF"/>
        <w:spacing w:line="480" w:lineRule="atLeast"/>
        <w:jc w:val="righ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  <w:t>2019年8月20日</w:t>
      </w:r>
    </w:p>
    <w:p>
      <w:pPr>
        <w:widowControl/>
        <w:shd w:val="clear" w:color="auto" w:fill="FFFFFF"/>
        <w:spacing w:line="480" w:lineRule="atLeast"/>
        <w:jc w:val="left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27"/>
          <w:szCs w:val="27"/>
        </w:rPr>
        <w:t>附表</w:t>
      </w:r>
    </w:p>
    <w:p>
      <w:pPr>
        <w:widowControl/>
        <w:shd w:val="clear" w:color="auto" w:fill="FFFFFF"/>
        <w:spacing w:line="480" w:lineRule="atLeast"/>
        <w:jc w:val="center"/>
        <w:rPr>
          <w:rFonts w:hint="eastAsia" w:ascii="微软雅黑" w:hAnsi="微软雅黑" w:eastAsia="微软雅黑" w:cs="宋体"/>
          <w:color w:val="4B4B4B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27"/>
          <w:szCs w:val="27"/>
        </w:rPr>
        <w:t>2019—2021年基础学科拔尖学生培养基地建设规划</w:t>
      </w:r>
    </w:p>
    <w:tbl>
      <w:tblPr>
        <w:tblStyle w:val="5"/>
        <w:tblW w:w="828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8"/>
        <w:gridCol w:w="1840"/>
        <w:gridCol w:w="1758"/>
        <w:gridCol w:w="1089"/>
        <w:gridCol w:w="1089"/>
        <w:gridCol w:w="11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  <w:tblHeader/>
          <w:jc w:val="center"/>
        </w:trPr>
        <w:tc>
          <w:tcPr>
            <w:tcW w:w="317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建设范围</w:t>
            </w:r>
          </w:p>
        </w:tc>
        <w:tc>
          <w:tcPr>
            <w:tcW w:w="17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建设规划</w:t>
            </w:r>
          </w:p>
        </w:tc>
        <w:tc>
          <w:tcPr>
            <w:tcW w:w="335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分年度建设规划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  <w:tblHeader/>
          <w:jc w:val="center"/>
        </w:trPr>
        <w:tc>
          <w:tcPr>
            <w:tcW w:w="317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2019</w:t>
            </w: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年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2020</w:t>
            </w: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年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2021</w:t>
            </w: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理科基地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数学</w:t>
            </w:r>
          </w:p>
        </w:tc>
        <w:tc>
          <w:tcPr>
            <w:tcW w:w="175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155</w:t>
            </w:r>
          </w:p>
        </w:tc>
        <w:tc>
          <w:tcPr>
            <w:tcW w:w="10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60</w:t>
            </w:r>
          </w:p>
        </w:tc>
        <w:tc>
          <w:tcPr>
            <w:tcW w:w="10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50</w:t>
            </w:r>
          </w:p>
        </w:tc>
        <w:tc>
          <w:tcPr>
            <w:tcW w:w="1172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化学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计算机科学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天文学</w:t>
            </w:r>
          </w:p>
        </w:tc>
        <w:tc>
          <w:tcPr>
            <w:tcW w:w="175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35</w:t>
            </w:r>
          </w:p>
        </w:tc>
        <w:tc>
          <w:tcPr>
            <w:tcW w:w="10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15</w:t>
            </w:r>
          </w:p>
        </w:tc>
        <w:tc>
          <w:tcPr>
            <w:tcW w:w="10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12</w:t>
            </w:r>
          </w:p>
        </w:tc>
        <w:tc>
          <w:tcPr>
            <w:tcW w:w="1172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地理科学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大气科学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海洋科学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地球物理学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地质学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心理学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医科基地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基础医学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文科基地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哲学</w:t>
            </w:r>
          </w:p>
        </w:tc>
        <w:tc>
          <w:tcPr>
            <w:tcW w:w="175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60</w:t>
            </w:r>
          </w:p>
        </w:tc>
        <w:tc>
          <w:tcPr>
            <w:tcW w:w="10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20</w:t>
            </w:r>
          </w:p>
        </w:tc>
        <w:tc>
          <w:tcPr>
            <w:tcW w:w="10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20</w:t>
            </w:r>
          </w:p>
        </w:tc>
        <w:tc>
          <w:tcPr>
            <w:tcW w:w="1172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3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175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317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4B4B4B"/>
                <w:kern w:val="0"/>
                <w:sz w:val="24"/>
                <w:szCs w:val="24"/>
              </w:rPr>
              <w:t>总计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260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85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4B4B4B"/>
                <w:kern w:val="0"/>
                <w:sz w:val="24"/>
                <w:szCs w:val="24"/>
              </w:rPr>
              <w:t>75</w:t>
            </w:r>
          </w:p>
        </w:tc>
      </w:tr>
    </w:tbl>
    <w:p>
      <w:pPr>
        <w:widowControl/>
        <w:shd w:val="clear" w:color="auto" w:fill="FFFFFF"/>
        <w:spacing w:line="480" w:lineRule="atLeas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10D"/>
    <w:rsid w:val="00732B32"/>
    <w:rsid w:val="00D2110D"/>
    <w:rsid w:val="00EF7852"/>
    <w:rsid w:val="6556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标题 1 字符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批注框文本 字符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456</Words>
  <Characters>2602</Characters>
  <Lines>21</Lines>
  <Paragraphs>6</Paragraphs>
  <TotalTime>8</TotalTime>
  <ScaleCrop>false</ScaleCrop>
  <LinksUpToDate>false</LinksUpToDate>
  <CharactersWithSpaces>3052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2019-09-06T00:21:00Z</dcterms:created>
  <dc:creator>dell</dc:creator>
  <cp:lastModifiedBy>不错啊</cp:lastModifiedBy>
  <cp:lastPrinted>2019-09-06T00:22:00Z</cp:lastPrinted>
  <dcterms:modified xsi:type="dcterms:W3CDTF">2019-10-07T03:33:14Z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