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6A2C6">
      <w:pPr>
        <w:widowControl/>
        <w:spacing w:line="360" w:lineRule="auto"/>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附件</w:t>
      </w:r>
    </w:p>
    <w:p w14:paraId="56F2F783">
      <w:pPr>
        <w:widowControl/>
        <w:spacing w:line="360" w:lineRule="auto"/>
        <w:jc w:val="center"/>
        <w:rPr>
          <w:rFonts w:ascii="Times New Roman" w:hAnsi="Times New Roman" w:cs="Times New Roman"/>
          <w:color w:val="000000"/>
          <w:kern w:val="0"/>
          <w:sz w:val="36"/>
          <w:szCs w:val="36"/>
        </w:rPr>
      </w:pPr>
      <w:r>
        <w:rPr>
          <w:rFonts w:hint="eastAsia" w:ascii="宋体" w:hAnsi="宋体"/>
          <w:color w:val="000000"/>
          <w:kern w:val="0"/>
          <w:sz w:val="36"/>
          <w:szCs w:val="36"/>
        </w:rPr>
        <w:t>“医工融合实验班”培养架构与模式</w:t>
      </w:r>
    </w:p>
    <w:p w14:paraId="38D1AE89">
      <w:pPr>
        <w:widowControl/>
        <w:spacing w:line="360" w:lineRule="auto"/>
        <w:jc w:val="center"/>
        <w:rPr>
          <w:rFonts w:hint="eastAsia" w:ascii="宋体" w:hAnsi="宋体"/>
          <w:color w:val="000000"/>
          <w:kern w:val="0"/>
          <w:sz w:val="28"/>
          <w:szCs w:val="28"/>
        </w:rPr>
      </w:pPr>
    </w:p>
    <w:p w14:paraId="486AACE5">
      <w:pPr>
        <w:widowControl/>
        <w:spacing w:line="360" w:lineRule="auto"/>
        <w:ind w:firstLine="576"/>
        <w:rPr>
          <w:rFonts w:hint="eastAsia" w:ascii="宋体" w:hAnsi="宋体"/>
          <w:bCs/>
          <w:color w:val="000000"/>
          <w:kern w:val="0"/>
          <w:sz w:val="28"/>
          <w:szCs w:val="28"/>
        </w:rPr>
      </w:pPr>
      <w:r>
        <w:rPr>
          <w:rFonts w:hint="eastAsia" w:ascii="宋体" w:hAnsi="宋体"/>
          <w:bCs/>
          <w:color w:val="000000"/>
          <w:kern w:val="0"/>
          <w:sz w:val="28"/>
          <w:szCs w:val="28"/>
        </w:rPr>
        <w:t>“</w:t>
      </w:r>
      <w:r>
        <w:rPr>
          <w:rFonts w:ascii="宋体" w:hAnsi="宋体"/>
          <w:bCs/>
          <w:color w:val="000000"/>
          <w:kern w:val="0"/>
          <w:sz w:val="28"/>
          <w:szCs w:val="28"/>
        </w:rPr>
        <w:t>医工融合实验班</w:t>
      </w:r>
      <w:r>
        <w:rPr>
          <w:rFonts w:hint="eastAsia" w:ascii="宋体" w:hAnsi="宋体"/>
          <w:bCs/>
          <w:color w:val="000000"/>
          <w:kern w:val="0"/>
          <w:sz w:val="28"/>
          <w:szCs w:val="28"/>
        </w:rPr>
        <w:t>”</w:t>
      </w:r>
      <w:r>
        <w:rPr>
          <w:rFonts w:ascii="宋体" w:hAnsi="宋体"/>
          <w:bCs/>
          <w:color w:val="000000"/>
          <w:kern w:val="0"/>
          <w:sz w:val="28"/>
          <w:szCs w:val="28"/>
        </w:rPr>
        <w:t>整合了北京理工大学雄厚的工科专业实力与河北医科大学优质的医学师资力量及实验资源，实行双导师制培养模式。校内专业导师由全校医工融合学科群相关学院中，从事医工交叉研究、学术造诣深厚且师德高尚的教授担任；医院导师则来自解放军总医院（301医院）、北京积水潭医院等合作医院，由对医工融合方向具有明确研究兴趣的科室主任医师担任。医工融合领域的人才培养是一项覆盖本、硕、博全阶段的系统性联合培养工程。北京理工大学与合作医院共同努力，推动优势工科与临床医学及健康工程的深度融合，致力为医工融合领域培养高素质专门人才。</w:t>
      </w:r>
    </w:p>
    <w:p w14:paraId="3F77AFDF">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1、参考模式</w:t>
      </w:r>
    </w:p>
    <w:p w14:paraId="6DA2E051">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哈佛-麻省理工健康科学和技术项目(HST：Harvard-MIT Program in Health Sciences and Technology）1970年创建，是世界上第一个医工融合研究生培养项目。</w:t>
      </w:r>
    </w:p>
    <w:p w14:paraId="1C846941">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2、学制</w:t>
      </w:r>
    </w:p>
    <w:p w14:paraId="1EC6B6C3">
      <w:pPr>
        <w:widowControl/>
        <w:spacing w:line="360" w:lineRule="auto"/>
        <w:ind w:firstLine="420" w:firstLineChars="150"/>
        <w:rPr>
          <w:rFonts w:hint="eastAsia" w:ascii="宋体" w:hAnsi="宋体"/>
          <w:bCs/>
          <w:color w:val="000000"/>
          <w:kern w:val="0"/>
          <w:sz w:val="28"/>
          <w:szCs w:val="28"/>
        </w:rPr>
      </w:pPr>
      <w:r>
        <w:rPr>
          <w:rFonts w:hint="eastAsia" w:ascii="宋体" w:hAnsi="宋体"/>
          <w:bCs/>
          <w:color w:val="000000"/>
          <w:kern w:val="0"/>
          <w:sz w:val="28"/>
          <w:szCs w:val="28"/>
        </w:rPr>
        <w:t>本硕/博贯通培养（本科阶段4年，硕士研究生3年，本博连读研究生阶段4-6年）。</w:t>
      </w:r>
    </w:p>
    <w:p w14:paraId="485E09A4">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3、学位：</w:t>
      </w:r>
    </w:p>
    <w:p w14:paraId="5AA4B843">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w:t>
      </w:r>
      <w:r>
        <w:rPr>
          <w:rFonts w:ascii="宋体" w:hAnsi="宋体"/>
          <w:bCs/>
          <w:color w:val="000000"/>
          <w:kern w:val="0"/>
          <w:sz w:val="28"/>
          <w:szCs w:val="28"/>
        </w:rPr>
        <w:t>医工融合实验班</w:t>
      </w:r>
      <w:r>
        <w:rPr>
          <w:rFonts w:hint="eastAsia" w:ascii="宋体" w:hAnsi="宋体"/>
          <w:bCs/>
          <w:color w:val="000000"/>
          <w:kern w:val="0"/>
          <w:sz w:val="28"/>
          <w:szCs w:val="28"/>
        </w:rPr>
        <w:t>”学生本科毕业可以在智能医学工程和生物医学工程专业中任选其一作为本科专业，授予工学学士学位。</w:t>
      </w:r>
    </w:p>
    <w:p w14:paraId="7C3DBA74">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4、师资力量</w:t>
      </w:r>
    </w:p>
    <w:p w14:paraId="6726E55B">
      <w:pPr>
        <w:widowControl/>
        <w:spacing w:line="360" w:lineRule="auto"/>
        <w:ind w:firstLine="560" w:firstLineChars="200"/>
        <w:rPr>
          <w:rFonts w:hint="eastAsia" w:ascii="宋体" w:hAnsi="宋体"/>
          <w:bCs/>
          <w:color w:val="000000"/>
          <w:kern w:val="0"/>
          <w:sz w:val="28"/>
          <w:szCs w:val="28"/>
        </w:rPr>
      </w:pPr>
      <w:r>
        <w:rPr>
          <w:rFonts w:ascii="宋体" w:hAnsi="宋体"/>
          <w:bCs/>
          <w:color w:val="000000"/>
          <w:kern w:val="0"/>
          <w:sz w:val="28"/>
          <w:szCs w:val="28"/>
        </w:rPr>
        <w:t>整合学校各强势工科学院的优质师资力量与高水平医院的临床教学资源，共同完成学生的培养过程。校内专业导师由全校范围内从事医工融合相关研究、学术水平高、师德高尚的教授担任；医院导师则由合作医院中对医工融合具有明确研究兴趣的科室主任医师担任。</w:t>
      </w:r>
    </w:p>
    <w:p w14:paraId="5A39BF94">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5、培养模式</w:t>
      </w:r>
    </w:p>
    <w:p w14:paraId="747783B4">
      <w:pPr>
        <w:widowControl/>
        <w:spacing w:line="360" w:lineRule="auto"/>
        <w:ind w:firstLine="560" w:firstLineChars="200"/>
        <w:rPr>
          <w:rFonts w:hint="eastAsia" w:ascii="宋体" w:hAnsi="宋体"/>
          <w:bCs/>
          <w:color w:val="000000"/>
          <w:kern w:val="0"/>
          <w:sz w:val="28"/>
          <w:szCs w:val="28"/>
        </w:rPr>
      </w:pPr>
      <w:r>
        <w:rPr>
          <w:rFonts w:ascii="宋体" w:hAnsi="宋体"/>
          <w:bCs/>
          <w:color w:val="000000"/>
          <w:kern w:val="0"/>
          <w:sz w:val="28"/>
          <w:szCs w:val="28"/>
        </w:rPr>
        <w:t>本项目实行“3+X”年本硕博贯通式动态学制与灵活</w:t>
      </w:r>
      <w:bookmarkStart w:id="0" w:name="_GoBack"/>
      <w:bookmarkEnd w:id="0"/>
      <w:r>
        <w:rPr>
          <w:rFonts w:ascii="宋体" w:hAnsi="宋体"/>
          <w:bCs/>
          <w:color w:val="000000"/>
          <w:kern w:val="0"/>
          <w:sz w:val="28"/>
          <w:szCs w:val="28"/>
        </w:rPr>
        <w:t>的“分流+补入”培养机制。学生在第三学期配备“一对一”专业导师，导师将指导学生系统学习专业知识并开展创新实践活动。该导师配置可延续至研究生阶段，学生也可在进入研究生阶段后，根据师生双方意愿更换导师。进入研究生阶段后，实行校内专业导师与医院临床医学导师共同指导的双导师制，两位导师将协同指导学生开展医工融合相关课题研究。</w:t>
      </w:r>
    </w:p>
    <w:p w14:paraId="280482A8">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6、培养过程</w:t>
      </w:r>
    </w:p>
    <w:p w14:paraId="50154105">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第一学年（本校）：大类基础培养，注重数理化生材基础知识和基本工科实验技能的训练。</w:t>
      </w:r>
    </w:p>
    <w:p w14:paraId="5A6C3C6C">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第二学年（本校）：专业基础课程，注重电子学和信号处理相关课程的学习。</w:t>
      </w:r>
    </w:p>
    <w:p w14:paraId="0556F2C0">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第三学年第一学期（本校）：专业课程的学习，为开展生物医学工程的科学研究奠定工程实践能力基础。</w:t>
      </w:r>
    </w:p>
    <w:p w14:paraId="73AB585C">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第三学年第二学期（河北医科大学）： 生物医学基础课程和桥梁课程，以及生物医学仪器专业知识的学习。</w:t>
      </w:r>
    </w:p>
    <w:p w14:paraId="0F69AC7F">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第四学年（学校和医院）：确定研究生阶段的指导教师并根据选择的研究方向学习研究生阶段的课程，</w:t>
      </w:r>
      <w:r>
        <w:rPr>
          <w:rFonts w:ascii="宋体" w:hAnsi="宋体"/>
          <w:bCs/>
          <w:color w:val="000000"/>
          <w:kern w:val="0"/>
          <w:sz w:val="28"/>
          <w:szCs w:val="28"/>
        </w:rPr>
        <w:t>同时明确本科毕业设计（论文）的内容与题目，完成本科毕业论文答辩及部分研究生课程的学习。对于不在北京理工大学攻读研究生或未获得推免资格的学生，仅需完成本科毕业设计（论文）。毕业论文可在学校导师与医院导师的共同指导下，于学校或合作医院完成。</w:t>
      </w:r>
    </w:p>
    <w:p w14:paraId="640B4D57">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第五～八学年（学校或医院）：</w:t>
      </w:r>
      <w:r>
        <w:rPr>
          <w:rFonts w:ascii="宋体" w:hAnsi="宋体"/>
          <w:bCs/>
          <w:color w:val="000000"/>
          <w:kern w:val="0"/>
          <w:sz w:val="28"/>
          <w:szCs w:val="28"/>
        </w:rPr>
        <w:t>完成研究生阶段课程学习后，进入研究生阶段开展课题研究。相关学分与培养要求，参照学校研究生院对硕士研究生及本科起点博士研究生的有关规定执行。</w:t>
      </w:r>
    </w:p>
    <w:p w14:paraId="20A2EE34">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7、管理模式</w:t>
      </w:r>
    </w:p>
    <w:p w14:paraId="25991470">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w:t>
      </w:r>
      <w:r>
        <w:rPr>
          <w:rFonts w:ascii="宋体" w:hAnsi="宋体"/>
          <w:bCs/>
          <w:color w:val="000000"/>
          <w:kern w:val="0"/>
          <w:sz w:val="28"/>
          <w:szCs w:val="28"/>
        </w:rPr>
        <w:t>医工融合实验班</w:t>
      </w:r>
      <w:r>
        <w:rPr>
          <w:rFonts w:hint="eastAsia" w:ascii="宋体" w:hAnsi="宋体"/>
          <w:bCs/>
          <w:color w:val="000000"/>
          <w:kern w:val="0"/>
          <w:sz w:val="28"/>
          <w:szCs w:val="28"/>
        </w:rPr>
        <w:t>”学生本科阶段管理在求是书院，教学工作由医学科学与工程学院安排。进入研究生学习阶段由学籍所在学院负责。</w:t>
      </w:r>
    </w:p>
    <w:p w14:paraId="7CB1D477">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8、选拔与淘汰机制：</w:t>
      </w:r>
    </w:p>
    <w:p w14:paraId="4D30D9E2">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（1）选拔机制：</w:t>
      </w:r>
      <w:r>
        <w:rPr>
          <w:rFonts w:ascii="宋体" w:hAnsi="宋体"/>
          <w:bCs/>
          <w:color w:val="000000"/>
          <w:kern w:val="0"/>
          <w:sz w:val="28"/>
          <w:szCs w:val="28"/>
        </w:rPr>
        <w:t>选拔面向全校理工科专业全体学生开放，徐特立英才班、拔尖班学生亦可报名。报名学生须满足：不及格科目不超过1门，且学习成绩平均分达到75分以上。遴选采用学习成绩与面试相结合的考核方式。</w:t>
      </w:r>
    </w:p>
    <w:p w14:paraId="6623884B">
      <w:pPr>
        <w:widowControl/>
        <w:spacing w:line="360" w:lineRule="auto"/>
        <w:ind w:firstLine="560" w:firstLineChars="200"/>
        <w:rPr>
          <w:rFonts w:hint="eastAsia" w:ascii="宋体" w:hAnsi="宋体"/>
          <w:bCs/>
          <w:color w:val="000000"/>
          <w:kern w:val="0"/>
          <w:sz w:val="28"/>
          <w:szCs w:val="28"/>
        </w:rPr>
      </w:pPr>
      <w:r>
        <w:rPr>
          <w:rFonts w:hint="eastAsia" w:ascii="宋体" w:hAnsi="宋体"/>
          <w:bCs/>
          <w:color w:val="000000"/>
          <w:kern w:val="0"/>
          <w:sz w:val="28"/>
          <w:szCs w:val="28"/>
        </w:rPr>
        <w:t>（2）分流（淘汰）机制：对于不适合在实验班学习的学生按照学校转专业的有关规定转入其他专业学习；如在第二学年及以后出现多余1门不及格科目或自愿放弃我校研究生培养资格的学生，可继续在实验班学习，符合毕业要求后授予生物医学工程专业工学学士学位。</w:t>
      </w:r>
    </w:p>
    <w:p w14:paraId="7C30933D">
      <w:pPr>
        <w:widowControl/>
        <w:spacing w:line="360" w:lineRule="auto"/>
        <w:ind w:firstLine="560" w:firstLineChars="200"/>
        <w:rPr>
          <w:rFonts w:hint="eastAsia" w:ascii="宋体" w:hAnsi="宋体"/>
          <w:bCs/>
          <w:color w:val="000000"/>
          <w:kern w:val="0"/>
          <w:sz w:val="28"/>
          <w:szCs w:val="28"/>
        </w:rPr>
      </w:pPr>
      <w:r>
        <w:rPr>
          <w:rFonts w:ascii="宋体" w:hAnsi="宋体"/>
          <w:bCs/>
          <w:color w:val="000000"/>
          <w:kern w:val="0"/>
          <w:sz w:val="28"/>
          <w:szCs w:val="28"/>
        </w:rPr>
        <w:t>对于不适合在实验班学习的学生，将按照学校转专业相关规定，转入其他专业继续学习。若学生在第二学年及以后出现超过1门不及格科目，或自愿放弃我校研究生培养资格，仍可继续留在实验班学习。在满足毕业要求的前提下，授予</w:t>
      </w:r>
      <w:r>
        <w:rPr>
          <w:rFonts w:hint="eastAsia" w:ascii="宋体" w:hAnsi="宋体"/>
          <w:bCs/>
          <w:color w:val="000000"/>
          <w:kern w:val="0"/>
          <w:sz w:val="28"/>
          <w:szCs w:val="28"/>
        </w:rPr>
        <w:t>智能医学工程或</w:t>
      </w:r>
      <w:r>
        <w:rPr>
          <w:rFonts w:ascii="宋体" w:hAnsi="宋体"/>
          <w:bCs/>
          <w:color w:val="000000"/>
          <w:kern w:val="0"/>
          <w:sz w:val="28"/>
          <w:szCs w:val="28"/>
        </w:rPr>
        <w:t>生物医学工程专业工学学士学位。</w:t>
      </w:r>
    </w:p>
    <w:p w14:paraId="2263E2B0">
      <w:pPr>
        <w:widowControl/>
        <w:spacing w:line="360" w:lineRule="auto"/>
        <w:rPr>
          <w:rFonts w:ascii="Times New Roman" w:hAnsi="Times New Roman" w:cs="Times New Roman"/>
          <w:color w:val="000000"/>
          <w:kern w:val="0"/>
          <w:sz w:val="28"/>
          <w:szCs w:val="28"/>
        </w:rPr>
      </w:pPr>
    </w:p>
    <w:p w14:paraId="25B6B95F">
      <w:pPr>
        <w:widowControl/>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6C"/>
    <w:rsid w:val="00042BA7"/>
    <w:rsid w:val="000707A1"/>
    <w:rsid w:val="000940B4"/>
    <w:rsid w:val="000A2CDA"/>
    <w:rsid w:val="000A7749"/>
    <w:rsid w:val="0013305B"/>
    <w:rsid w:val="00146477"/>
    <w:rsid w:val="001612E4"/>
    <w:rsid w:val="001762F0"/>
    <w:rsid w:val="001952DE"/>
    <w:rsid w:val="001974EB"/>
    <w:rsid w:val="001F6489"/>
    <w:rsid w:val="001F69D7"/>
    <w:rsid w:val="002109DE"/>
    <w:rsid w:val="002119EF"/>
    <w:rsid w:val="0022663C"/>
    <w:rsid w:val="00227BE7"/>
    <w:rsid w:val="00261112"/>
    <w:rsid w:val="00277165"/>
    <w:rsid w:val="002D1D0F"/>
    <w:rsid w:val="002D7E8F"/>
    <w:rsid w:val="002E7019"/>
    <w:rsid w:val="002F3270"/>
    <w:rsid w:val="00340B2F"/>
    <w:rsid w:val="003436B3"/>
    <w:rsid w:val="00351B5B"/>
    <w:rsid w:val="00375182"/>
    <w:rsid w:val="0039646C"/>
    <w:rsid w:val="003C6883"/>
    <w:rsid w:val="003E6B5A"/>
    <w:rsid w:val="003F417E"/>
    <w:rsid w:val="0043599F"/>
    <w:rsid w:val="004510E8"/>
    <w:rsid w:val="00451FE7"/>
    <w:rsid w:val="004646F3"/>
    <w:rsid w:val="00492177"/>
    <w:rsid w:val="00494924"/>
    <w:rsid w:val="0049606A"/>
    <w:rsid w:val="004A54DE"/>
    <w:rsid w:val="004B4CBC"/>
    <w:rsid w:val="004F7631"/>
    <w:rsid w:val="00511F6C"/>
    <w:rsid w:val="00546225"/>
    <w:rsid w:val="00566643"/>
    <w:rsid w:val="00571E52"/>
    <w:rsid w:val="0057758B"/>
    <w:rsid w:val="005D5E51"/>
    <w:rsid w:val="005F26A0"/>
    <w:rsid w:val="006E4E1C"/>
    <w:rsid w:val="006E5BF7"/>
    <w:rsid w:val="007063F2"/>
    <w:rsid w:val="00795343"/>
    <w:rsid w:val="007C2562"/>
    <w:rsid w:val="00801524"/>
    <w:rsid w:val="0084709C"/>
    <w:rsid w:val="0084711A"/>
    <w:rsid w:val="00861B13"/>
    <w:rsid w:val="00886B43"/>
    <w:rsid w:val="008C2DB5"/>
    <w:rsid w:val="00911CA5"/>
    <w:rsid w:val="009222AE"/>
    <w:rsid w:val="009559F1"/>
    <w:rsid w:val="00960C1B"/>
    <w:rsid w:val="00960ED4"/>
    <w:rsid w:val="009651B6"/>
    <w:rsid w:val="009B0569"/>
    <w:rsid w:val="009C1FFD"/>
    <w:rsid w:val="009D0241"/>
    <w:rsid w:val="009F3735"/>
    <w:rsid w:val="009F56E6"/>
    <w:rsid w:val="00A16F9E"/>
    <w:rsid w:val="00A62995"/>
    <w:rsid w:val="00A776C2"/>
    <w:rsid w:val="00AA24E4"/>
    <w:rsid w:val="00AA5E12"/>
    <w:rsid w:val="00AB5542"/>
    <w:rsid w:val="00AC06F4"/>
    <w:rsid w:val="00AF22B1"/>
    <w:rsid w:val="00B22BE4"/>
    <w:rsid w:val="00B26015"/>
    <w:rsid w:val="00B46045"/>
    <w:rsid w:val="00B56839"/>
    <w:rsid w:val="00B61115"/>
    <w:rsid w:val="00B65379"/>
    <w:rsid w:val="00BC5E28"/>
    <w:rsid w:val="00BE39A5"/>
    <w:rsid w:val="00BE4F28"/>
    <w:rsid w:val="00BE7454"/>
    <w:rsid w:val="00BF618F"/>
    <w:rsid w:val="00C1098D"/>
    <w:rsid w:val="00C45473"/>
    <w:rsid w:val="00C62CF4"/>
    <w:rsid w:val="00C645E6"/>
    <w:rsid w:val="00C656E4"/>
    <w:rsid w:val="00C70760"/>
    <w:rsid w:val="00C71BA1"/>
    <w:rsid w:val="00CC17CB"/>
    <w:rsid w:val="00CC3934"/>
    <w:rsid w:val="00D266CE"/>
    <w:rsid w:val="00D54804"/>
    <w:rsid w:val="00D672A0"/>
    <w:rsid w:val="00D82973"/>
    <w:rsid w:val="00DA44CC"/>
    <w:rsid w:val="00DC2F88"/>
    <w:rsid w:val="00DC44FA"/>
    <w:rsid w:val="00DE763B"/>
    <w:rsid w:val="00DF7566"/>
    <w:rsid w:val="00E2097C"/>
    <w:rsid w:val="00E33C9B"/>
    <w:rsid w:val="00EC429B"/>
    <w:rsid w:val="00F13A60"/>
    <w:rsid w:val="00F26672"/>
    <w:rsid w:val="00F47381"/>
    <w:rsid w:val="00F8261B"/>
    <w:rsid w:val="00F826B4"/>
    <w:rsid w:val="00F8681E"/>
    <w:rsid w:val="00F97964"/>
    <w:rsid w:val="00FA6B68"/>
    <w:rsid w:val="00FC5668"/>
    <w:rsid w:val="00FF2B6C"/>
    <w:rsid w:val="319A3DA9"/>
    <w:rsid w:val="41BC1F64"/>
    <w:rsid w:val="504A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Calibri" w:hAnsi="Calibri" w:eastAsia="宋体" w:cs="宋体"/>
      <w:sz w:val="18"/>
      <w:szCs w:val="18"/>
    </w:r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1636</Words>
  <Characters>1690</Characters>
  <Lines>80</Lines>
  <Paragraphs>57</Paragraphs>
  <TotalTime>59</TotalTime>
  <ScaleCrop>false</ScaleCrop>
  <LinksUpToDate>false</LinksUpToDate>
  <CharactersWithSpaces>1697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2026-05-14T01:35:00Z</dcterms:created>
  <dc:creator>User</dc:creator>
  <cp:lastModifiedBy>Peng</cp:lastModifiedBy>
  <dcterms:modified xsi:type="dcterms:W3CDTF">2026-05-20T07:53:11Z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eyJoZGlkIjoiOWY3YWUxM2M5ZTI3ZTg4ZWZkNjg1MGIxYTlhYmMzNzAiLCJ1c2VySWQiOiIzODAyMzk3NDYifQ==</vt:lpwstr>
  </property>
  <property fmtid="{D5CDD505-2E9C-101B-9397-08002B2CF9AE}" pid="3" name="KSOProductBuildVer">
    <vt:lpwstr>2052-12.1.0.26375</vt:lpwstr>
  </property>
  <property fmtid="{D5CDD505-2E9C-101B-9397-08002B2CF9AE}" pid="4" name="ICV">
    <vt:lpwstr>58D8D23652874EAC85E5D410B366FC1E_13</vt:lpwstr>
  </property>
</Properties>
</file>