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A5543">
      <w:pPr>
        <w:jc w:val="center"/>
        <w:rPr>
          <w:rFonts w:hint="eastAsia"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经济学院</w:t>
      </w:r>
    </w:p>
    <w:p w14:paraId="1345C7F4">
      <w:pPr>
        <w:jc w:val="center"/>
        <w:rPr>
          <w:rFonts w:hint="eastAsia"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2024—2025学年第一学期转专业学生</w:t>
      </w:r>
      <w:r>
        <w:rPr>
          <w:rFonts w:hint="eastAsia" w:ascii="方正小标宋简体" w:hAnsi="方正小标宋简体" w:eastAsia="方正小标宋简体" w:cs="方正小标宋简体"/>
          <w:b/>
          <w:sz w:val="36"/>
          <w:szCs w:val="36"/>
        </w:rPr>
        <w:t>遴选</w:t>
      </w:r>
      <w:r>
        <w:rPr>
          <w:rFonts w:hint="eastAsia" w:ascii="方正小标宋简体" w:hAnsi="方正小标宋简体" w:eastAsia="方正小标宋简体" w:cs="方正小标宋简体"/>
          <w:b/>
          <w:sz w:val="36"/>
          <w:szCs w:val="36"/>
        </w:rPr>
        <w:t>办法</w:t>
      </w:r>
    </w:p>
    <w:p w14:paraId="7714A298">
      <w:pPr>
        <w:rPr>
          <w:rFonts w:hint="eastAsia" w:ascii="方正小标宋简体" w:hAnsi="方正小标宋简体" w:eastAsia="方正小标宋简体" w:cs="方正小标宋简体"/>
          <w:sz w:val="28"/>
          <w:szCs w:val="28"/>
        </w:rPr>
      </w:pPr>
    </w:p>
    <w:p w14:paraId="6DAEA1F1">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第一条 接收转专业的原则</w:t>
      </w:r>
    </w:p>
    <w:p w14:paraId="5F879D26">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转专业工作必须本着公开、公平与公正的原则进行，所有相关管理人员、教师与学生都必须严格遵守有关规则与程序，坚持德、智、体、美、劳全面衡量，实事求是，择优录取，保证质量。 </w:t>
      </w:r>
    </w:p>
    <w:p w14:paraId="70A4ABB8">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第二条 接收转专业的依据</w:t>
      </w:r>
    </w:p>
    <w:p w14:paraId="785CA7C7">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北京理工大学本科生管理规定》和《北京理工大学本科生学籍管理细则》，申请人应对所申请专业确有兴趣和特长，转到所申请专业学习更有利于其发展和潜质发挥，可以申请转专业；以特殊招生形式录取的、国家有相关规定或者录取前与学校有明确约定不得转专业的学生除外。</w:t>
      </w:r>
    </w:p>
    <w:p w14:paraId="159D79E7">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第三条 接收转专业的条件</w:t>
      </w:r>
    </w:p>
    <w:p w14:paraId="555A4917">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转专业的学生必须拥护中国共产党的领导，热爱祖国，遵纪守法，无违反学校纪律、受处分记录；做人诚实守信，无考试作弊行为记录；学习成绩合格，对拟转入专业存在浓厚兴趣，综合素质良好，不接收第二志愿学生，具体名额如下：</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4"/>
        <w:gridCol w:w="3523"/>
        <w:gridCol w:w="3188"/>
      </w:tblGrid>
      <w:tr w14:paraId="6367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trPr>
        <w:tc>
          <w:tcPr>
            <w:tcW w:w="1386" w:type="pct"/>
            <w:vMerge w:val="restart"/>
            <w:vAlign w:val="center"/>
          </w:tcPr>
          <w:p w14:paraId="07A4CDC8">
            <w:pPr>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专业名称及年级</w:t>
            </w:r>
          </w:p>
        </w:tc>
        <w:tc>
          <w:tcPr>
            <w:tcW w:w="1897" w:type="pct"/>
            <w:vMerge w:val="restart"/>
            <w:vAlign w:val="center"/>
          </w:tcPr>
          <w:p w14:paraId="587734B7">
            <w:pPr>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面向年级</w:t>
            </w:r>
          </w:p>
          <w:p w14:paraId="702E401F">
            <w:pPr>
              <w:jc w:val="center"/>
              <w:rPr>
                <w:rFonts w:hint="eastAsia" w:ascii="仿宋_GB2312" w:hAnsi="仿宋_GB2312" w:eastAsia="仿宋_GB2312" w:cs="仿宋_GB2312"/>
                <w:b/>
                <w:sz w:val="28"/>
                <w:szCs w:val="28"/>
              </w:rPr>
            </w:pPr>
            <w:r>
              <w:rPr>
                <w:rFonts w:hint="eastAsia" w:ascii="仿宋_GB2312" w:hAnsi="仿宋_GB2312" w:eastAsia="仿宋_GB2312" w:cs="仿宋_GB2312"/>
                <w:b/>
                <w:spacing w:val="2"/>
                <w:w w:val="90"/>
                <w:sz w:val="28"/>
                <w:szCs w:val="28"/>
              </w:rPr>
              <w:t>（可报名的学生所在年级</w:t>
            </w:r>
            <w:r>
              <w:rPr>
                <w:rFonts w:hint="eastAsia" w:ascii="仿宋_GB2312" w:hAnsi="仿宋_GB2312" w:eastAsia="仿宋_GB2312" w:cs="仿宋_GB2312"/>
                <w:b/>
                <w:sz w:val="28"/>
                <w:szCs w:val="28"/>
              </w:rPr>
              <w:t>）</w:t>
            </w:r>
          </w:p>
        </w:tc>
        <w:tc>
          <w:tcPr>
            <w:tcW w:w="1717" w:type="pct"/>
            <w:vMerge w:val="restart"/>
            <w:tcBorders>
              <w:bottom w:val="nil"/>
            </w:tcBorders>
            <w:vAlign w:val="center"/>
          </w:tcPr>
          <w:p w14:paraId="068AAF85">
            <w:pPr>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接收人数</w:t>
            </w:r>
          </w:p>
          <w:p w14:paraId="117C2A15">
            <w:pPr>
              <w:jc w:val="center"/>
              <w:rPr>
                <w:rFonts w:hint="eastAsia" w:ascii="仿宋_GB2312" w:hAnsi="仿宋_GB2312" w:eastAsia="仿宋_GB2312" w:cs="仿宋_GB2312"/>
                <w:b/>
                <w:sz w:val="28"/>
                <w:szCs w:val="28"/>
              </w:rPr>
            </w:pPr>
            <w:r>
              <w:rPr>
                <w:rFonts w:hint="eastAsia" w:ascii="仿宋_GB2312" w:hAnsi="仿宋_GB2312" w:eastAsia="仿宋_GB2312" w:cs="仿宋_GB2312"/>
                <w:b/>
                <w:spacing w:val="2"/>
                <w:w w:val="90"/>
                <w:sz w:val="28"/>
                <w:szCs w:val="28"/>
              </w:rPr>
              <w:t>（分年级填写）</w:t>
            </w:r>
          </w:p>
        </w:tc>
      </w:tr>
      <w:tr w14:paraId="3FF88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1386" w:type="pct"/>
            <w:vMerge w:val="continue"/>
            <w:vAlign w:val="center"/>
          </w:tcPr>
          <w:p w14:paraId="0473B8E6">
            <w:pPr>
              <w:jc w:val="center"/>
              <w:rPr>
                <w:rFonts w:hint="eastAsia" w:ascii="仿宋_GB2312" w:hAnsi="仿宋_GB2312" w:eastAsia="仿宋_GB2312" w:cs="仿宋_GB2312"/>
                <w:b/>
                <w:sz w:val="28"/>
                <w:szCs w:val="28"/>
              </w:rPr>
            </w:pPr>
          </w:p>
        </w:tc>
        <w:tc>
          <w:tcPr>
            <w:tcW w:w="1897" w:type="pct"/>
            <w:vMerge w:val="continue"/>
            <w:tcBorders>
              <w:bottom w:val="single" w:color="auto" w:sz="4" w:space="0"/>
            </w:tcBorders>
            <w:vAlign w:val="center"/>
          </w:tcPr>
          <w:p w14:paraId="66890E91">
            <w:pPr>
              <w:jc w:val="center"/>
              <w:rPr>
                <w:rFonts w:hint="eastAsia" w:ascii="仿宋_GB2312" w:hAnsi="仿宋_GB2312" w:eastAsia="仿宋_GB2312" w:cs="仿宋_GB2312"/>
                <w:b/>
                <w:sz w:val="28"/>
                <w:szCs w:val="28"/>
              </w:rPr>
            </w:pPr>
          </w:p>
        </w:tc>
        <w:tc>
          <w:tcPr>
            <w:tcW w:w="1717" w:type="pct"/>
            <w:vMerge w:val="continue"/>
            <w:tcBorders>
              <w:bottom w:val="single" w:color="auto" w:sz="4" w:space="0"/>
            </w:tcBorders>
            <w:vAlign w:val="center"/>
          </w:tcPr>
          <w:p w14:paraId="3300C7AA">
            <w:pPr>
              <w:jc w:val="center"/>
              <w:rPr>
                <w:rFonts w:hint="eastAsia" w:ascii="仿宋_GB2312" w:hAnsi="仿宋_GB2312" w:eastAsia="仿宋_GB2312" w:cs="仿宋_GB2312"/>
                <w:b/>
                <w:sz w:val="28"/>
                <w:szCs w:val="28"/>
              </w:rPr>
            </w:pPr>
          </w:p>
        </w:tc>
      </w:tr>
      <w:tr w14:paraId="326EA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7" w:hRule="atLeast"/>
        </w:trPr>
        <w:tc>
          <w:tcPr>
            <w:tcW w:w="1386" w:type="pct"/>
            <w:vAlign w:val="center"/>
          </w:tcPr>
          <w:p w14:paraId="3CB8C9FC">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经济学</w:t>
            </w:r>
          </w:p>
          <w:p w14:paraId="18298F0F">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级）</w:t>
            </w:r>
          </w:p>
        </w:tc>
        <w:tc>
          <w:tcPr>
            <w:tcW w:w="1897" w:type="pct"/>
            <w:vAlign w:val="center"/>
          </w:tcPr>
          <w:p w14:paraId="0D61E302">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级</w:t>
            </w:r>
          </w:p>
          <w:p w14:paraId="7F4E6BCF">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级</w:t>
            </w:r>
          </w:p>
        </w:tc>
        <w:tc>
          <w:tcPr>
            <w:tcW w:w="1717" w:type="pct"/>
            <w:vAlign w:val="center"/>
          </w:tcPr>
          <w:p w14:paraId="7E8AEB37">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（院外）接收其他专业学生转入共5人</w:t>
            </w:r>
          </w:p>
        </w:tc>
      </w:tr>
      <w:tr w14:paraId="764A9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4" w:hRule="atLeast"/>
        </w:trPr>
        <w:tc>
          <w:tcPr>
            <w:tcW w:w="1386" w:type="pct"/>
            <w:vAlign w:val="center"/>
          </w:tcPr>
          <w:p w14:paraId="5A68509C">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国际经济与贸易</w:t>
            </w:r>
          </w:p>
          <w:p w14:paraId="6EE95FB7">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级）</w:t>
            </w:r>
          </w:p>
        </w:tc>
        <w:tc>
          <w:tcPr>
            <w:tcW w:w="1897" w:type="pct"/>
            <w:vAlign w:val="center"/>
          </w:tcPr>
          <w:p w14:paraId="0A09D0AB">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级</w:t>
            </w:r>
          </w:p>
        </w:tc>
        <w:tc>
          <w:tcPr>
            <w:tcW w:w="1717" w:type="pct"/>
            <w:vAlign w:val="center"/>
          </w:tcPr>
          <w:p w14:paraId="3596D3DD">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（院外）接收其他专业学生转入共1人</w:t>
            </w:r>
          </w:p>
        </w:tc>
      </w:tr>
    </w:tbl>
    <w:p w14:paraId="1B715494">
      <w:pPr>
        <w:ind w:firstLine="560" w:firstLineChars="200"/>
        <w:rPr>
          <w:rFonts w:hint="eastAsia" w:ascii="仿宋_GB2312" w:hAnsi="仿宋_GB2312" w:eastAsia="仿宋_GB2312" w:cs="仿宋_GB2312"/>
          <w:sz w:val="28"/>
          <w:szCs w:val="28"/>
        </w:rPr>
      </w:pPr>
    </w:p>
    <w:p w14:paraId="03B2DDB6">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有下列条件之一者，不予接收转专业：</w:t>
      </w:r>
    </w:p>
    <w:p w14:paraId="7FF0473C">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（一）正在休学的学生；</w:t>
      </w:r>
    </w:p>
    <w:p w14:paraId="3FE9CADF">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（二）中外合作办学专业学生；</w:t>
      </w:r>
    </w:p>
    <w:p w14:paraId="0718B371">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（三）教育部和学校明确规定不允许转专业的学生。</w:t>
      </w:r>
    </w:p>
    <w:p w14:paraId="59A8B524">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第四条 接收转专业的遴选办法</w:t>
      </w:r>
    </w:p>
    <w:p w14:paraId="3839FDAC">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（一）学院根据申请学生的学习、科研、社会实践及思想动态等情况及表现出的兴趣、潜质和特长综合考核，择优选拔。</w:t>
      </w:r>
    </w:p>
    <w:p w14:paraId="23C56FED">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各专业组成不少于3名专业教师的面试团队，同时邀请1名学生辅导员参加。结合学生成绩着重考察学生的学习态度、个人兴趣与特长、自我管理与学习能力、创新能力、心理素质等综合能力。根据面试团队意见，可以要求学生留级或降级。</w:t>
      </w:r>
    </w:p>
    <w:p w14:paraId="686392AA">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（三）学院党政联席会议根据面试结果商议确定拟接收学生名单。</w:t>
      </w:r>
    </w:p>
    <w:p w14:paraId="4EFE6D1B">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（四）拟接收学生名单要在学院进行初选结果公示并上报教务部。</w:t>
      </w:r>
    </w:p>
    <w:p w14:paraId="11AC8D7D">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（五）最终接收名单在学生本学期成绩全部出来后进行最终确定并上报教务部审核。</w:t>
      </w:r>
    </w:p>
    <w:p w14:paraId="23BC9E5F">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第五条 接收转专业的工作安排</w:t>
      </w:r>
    </w:p>
    <w:p w14:paraId="16147190">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val="en-US" w:eastAsia="zh-CN"/>
        </w:rPr>
        <w:t>11</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29</w:t>
      </w:r>
      <w:r>
        <w:rPr>
          <w:rFonts w:hint="eastAsia" w:ascii="仿宋_GB2312" w:hAnsi="仿宋_GB2312" w:eastAsia="仿宋_GB2312" w:cs="仿宋_GB2312"/>
          <w:sz w:val="28"/>
          <w:szCs w:val="28"/>
        </w:rPr>
        <w:t>日前完成学院接收转专业学生计划表、遴选办法、工作流程以及公示方案，并上报教务部审核。</w:t>
      </w:r>
    </w:p>
    <w:p w14:paraId="6B57B50F">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w:t>
      </w:r>
      <w:r>
        <w:rPr>
          <w:rFonts w:hint="eastAsia" w:ascii="仿宋_GB2312" w:hAnsi="仿宋_GB2312" w:eastAsia="仿宋_GB2312" w:cs="仿宋_GB2312"/>
          <w:sz w:val="28"/>
          <w:szCs w:val="28"/>
          <w:lang w:val="en-US" w:eastAsia="zh-CN"/>
        </w:rPr>
        <w:t>12</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日17:00日前，学生通过“智慧北理”提交转专业申请。</w:t>
      </w:r>
    </w:p>
    <w:p w14:paraId="1E712960">
      <w:pPr>
        <w:ind w:firstLine="560" w:firstLineChars="200"/>
        <w:rPr>
          <w:rFonts w:hint="eastAsia" w:ascii="仿宋_GB2312" w:hAnsi="仿宋_GB2312" w:eastAsia="仿宋_GB2312" w:cs="仿宋_GB2312"/>
          <w:sz w:val="28"/>
          <w:szCs w:val="28"/>
        </w:rPr>
      </w:pPr>
    </w:p>
    <w:p w14:paraId="136A7ACD">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各专业接收计划、遴选办法等转专业信息可通过学院网站、教务部网站及“智慧北理”查询。</w:t>
      </w:r>
    </w:p>
    <w:p w14:paraId="20FADC29">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w:t>
      </w:r>
      <w:r>
        <w:rPr>
          <w:rFonts w:hint="eastAsia" w:ascii="仿宋_GB2312" w:hAnsi="仿宋_GB2312" w:eastAsia="仿宋_GB2312" w:cs="仿宋_GB2312"/>
          <w:sz w:val="28"/>
          <w:szCs w:val="28"/>
          <w:lang w:val="en-US" w:eastAsia="zh-CN"/>
        </w:rPr>
        <w:t>12</w:t>
      </w:r>
      <w:r>
        <w:rPr>
          <w:rFonts w:hint="eastAsia" w:ascii="仿宋_GB2312" w:hAnsi="仿宋_GB2312" w:eastAsia="仿宋_GB2312" w:cs="仿宋_GB2312"/>
          <w:sz w:val="28"/>
          <w:szCs w:val="28"/>
        </w:rPr>
        <w:t>月1</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日前，学院对学生提交的材料进行初步审核，符合条件的学生由学院通知进行面试，面试地点和时间另行通知，面试时需向面试教师出示获奖证明材料原件。确定名额后将转入学生初选名单在学院网站上进行公示并上报教务部</w:t>
      </w:r>
    </w:p>
    <w:p w14:paraId="7F4B89CB">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（四）2025年2月24日前公示正式转专业名单，完成转专业录取，将拟转入学生初选名单上报教务部，</w:t>
      </w:r>
    </w:p>
    <w:p w14:paraId="0FF236CC">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（五）2024-2025学年第</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学期开学转入新专业的学生到新专业报到上课。</w:t>
      </w:r>
    </w:p>
    <w:p w14:paraId="5A2CE1EF">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第六条 本遴选办法由经济学院负责解释。</w:t>
      </w:r>
    </w:p>
    <w:p w14:paraId="06E48603">
      <w:pPr>
        <w:ind w:firstLine="5600" w:firstLineChars="2000"/>
        <w:rPr>
          <w:rFonts w:hint="eastAsia" w:ascii="仿宋_GB2312" w:hAnsi="仿宋_GB2312" w:eastAsia="仿宋_GB2312" w:cs="仿宋_GB2312"/>
          <w:sz w:val="28"/>
          <w:szCs w:val="28"/>
        </w:rPr>
      </w:pPr>
    </w:p>
    <w:p w14:paraId="3C1F985B">
      <w:pPr>
        <w:ind w:firstLine="5600" w:firstLineChars="2000"/>
        <w:rPr>
          <w:rFonts w:hint="eastAsia" w:ascii="仿宋_GB2312" w:hAnsi="仿宋_GB2312" w:eastAsia="仿宋_GB2312" w:cs="仿宋_GB2312"/>
          <w:sz w:val="28"/>
          <w:szCs w:val="28"/>
        </w:rPr>
      </w:pPr>
    </w:p>
    <w:p w14:paraId="07F5E20E">
      <w:pPr>
        <w:ind w:firstLine="5600" w:firstLineChars="2000"/>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经济学院</w:t>
      </w:r>
    </w:p>
    <w:p w14:paraId="7EEDF911">
      <w:pPr>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2024年</w:t>
      </w:r>
      <w:r>
        <w:rPr>
          <w:rFonts w:hint="eastAsia" w:ascii="仿宋_GB2312" w:hAnsi="仿宋_GB2312" w:eastAsia="仿宋_GB2312" w:cs="仿宋_GB2312"/>
          <w:sz w:val="28"/>
          <w:szCs w:val="28"/>
          <w:lang w:val="en-US" w:eastAsia="zh-CN"/>
        </w:rPr>
        <w:t>11</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26</w:t>
      </w:r>
      <w:bookmarkStart w:id="0" w:name="_GoBack"/>
      <w:bookmarkEnd w:id="0"/>
      <w:r>
        <w:rPr>
          <w:rFonts w:hint="eastAsia" w:ascii="仿宋_GB2312" w:hAnsi="仿宋_GB2312" w:eastAsia="仿宋_GB2312" w:cs="仿宋_GB2312"/>
          <w:sz w:val="28"/>
          <w:szCs w:val="28"/>
        </w:rPr>
        <w:t>日</w:t>
      </w:r>
    </w:p>
    <w:p w14:paraId="0A78F40B">
      <w:pPr>
        <w:ind w:firstLine="6720" w:firstLineChars="2400"/>
        <w:rPr>
          <w:rFonts w:ascii="宋体" w:hAnsi="宋体"/>
          <w:sz w:val="28"/>
          <w:szCs w:val="28"/>
        </w:rPr>
      </w:pPr>
    </w:p>
    <w:p w14:paraId="5D370F01">
      <w:pPr>
        <w:ind w:firstLine="6720" w:firstLineChars="2400"/>
        <w:rPr>
          <w:rFonts w:ascii="宋体" w:hAnsi="宋体"/>
          <w:sz w:val="28"/>
          <w:szCs w:val="28"/>
        </w:rPr>
      </w:pPr>
    </w:p>
    <w:sectPr>
      <w:pgSz w:w="11906" w:h="16838"/>
      <w:pgMar w:top="1361" w:right="1361" w:bottom="1247" w:left="1474"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golian Baiti">
    <w:panose1 w:val="03000500000000000000"/>
    <w:charset w:val="00"/>
    <w:family w:val="script"/>
    <w:pitch w:val="default"/>
    <w:sig w:usb0="80000023" w:usb1="00000000" w:usb2="00020000" w:usb3="00000000" w:csb0="00000001" w:csb1="00000000"/>
  </w:font>
  <w:font w:name="Abadi MT Condensed Light">
    <w:altName w:val="Arial Narrow"/>
    <w:panose1 w:val="00000000000000000000"/>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Narrow">
    <w:panose1 w:val="020B0606020202030204"/>
    <w:charset w:val="00"/>
    <w:family w:val="auto"/>
    <w:pitch w:val="default"/>
    <w:sig w:usb0="00000287" w:usb1="00000800" w:usb2="00000000" w:usb3="00000000" w:csb0="2000009F" w:csb1="DFD7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3BF"/>
    <w:rsid w:val="00006039"/>
    <w:rsid w:val="0001415B"/>
    <w:rsid w:val="00026389"/>
    <w:rsid w:val="000343F5"/>
    <w:rsid w:val="00042DFA"/>
    <w:rsid w:val="000516D3"/>
    <w:rsid w:val="000661B9"/>
    <w:rsid w:val="000736DA"/>
    <w:rsid w:val="000860AB"/>
    <w:rsid w:val="00097021"/>
    <w:rsid w:val="00097EF7"/>
    <w:rsid w:val="000D5EB0"/>
    <w:rsid w:val="000E2B13"/>
    <w:rsid w:val="001171F5"/>
    <w:rsid w:val="00133C87"/>
    <w:rsid w:val="001403BF"/>
    <w:rsid w:val="00154266"/>
    <w:rsid w:val="00155863"/>
    <w:rsid w:val="00162997"/>
    <w:rsid w:val="001A26CE"/>
    <w:rsid w:val="001C5ADC"/>
    <w:rsid w:val="001D01FC"/>
    <w:rsid w:val="001D55B0"/>
    <w:rsid w:val="001D61C9"/>
    <w:rsid w:val="001E1A24"/>
    <w:rsid w:val="002058E3"/>
    <w:rsid w:val="00282722"/>
    <w:rsid w:val="002A4145"/>
    <w:rsid w:val="002A5A92"/>
    <w:rsid w:val="002B2E1A"/>
    <w:rsid w:val="002C25A8"/>
    <w:rsid w:val="00323307"/>
    <w:rsid w:val="003369A9"/>
    <w:rsid w:val="00343F2D"/>
    <w:rsid w:val="0035508D"/>
    <w:rsid w:val="00383C2D"/>
    <w:rsid w:val="003877CE"/>
    <w:rsid w:val="003A2675"/>
    <w:rsid w:val="003A496C"/>
    <w:rsid w:val="004157F3"/>
    <w:rsid w:val="004374E4"/>
    <w:rsid w:val="00462828"/>
    <w:rsid w:val="00473604"/>
    <w:rsid w:val="00484541"/>
    <w:rsid w:val="004902D0"/>
    <w:rsid w:val="004B5584"/>
    <w:rsid w:val="004B565A"/>
    <w:rsid w:val="004D7B14"/>
    <w:rsid w:val="004E1EB8"/>
    <w:rsid w:val="004E5A1F"/>
    <w:rsid w:val="0051742A"/>
    <w:rsid w:val="00520B23"/>
    <w:rsid w:val="005400C7"/>
    <w:rsid w:val="00565231"/>
    <w:rsid w:val="00572715"/>
    <w:rsid w:val="00577785"/>
    <w:rsid w:val="005A30F5"/>
    <w:rsid w:val="005B124D"/>
    <w:rsid w:val="005D27C7"/>
    <w:rsid w:val="005F6F4F"/>
    <w:rsid w:val="00602163"/>
    <w:rsid w:val="0061240D"/>
    <w:rsid w:val="006356D2"/>
    <w:rsid w:val="006A02C1"/>
    <w:rsid w:val="006D7973"/>
    <w:rsid w:val="006E3258"/>
    <w:rsid w:val="0073765A"/>
    <w:rsid w:val="00744448"/>
    <w:rsid w:val="0075146F"/>
    <w:rsid w:val="007563AB"/>
    <w:rsid w:val="007672D2"/>
    <w:rsid w:val="00771F8D"/>
    <w:rsid w:val="00783005"/>
    <w:rsid w:val="007C5CB8"/>
    <w:rsid w:val="007F75E3"/>
    <w:rsid w:val="007F7B81"/>
    <w:rsid w:val="00824A27"/>
    <w:rsid w:val="00825B61"/>
    <w:rsid w:val="0083440A"/>
    <w:rsid w:val="00837D4E"/>
    <w:rsid w:val="00850CB3"/>
    <w:rsid w:val="0087298F"/>
    <w:rsid w:val="00917D83"/>
    <w:rsid w:val="00926C66"/>
    <w:rsid w:val="009518A2"/>
    <w:rsid w:val="00966C71"/>
    <w:rsid w:val="009712C0"/>
    <w:rsid w:val="00986466"/>
    <w:rsid w:val="00990855"/>
    <w:rsid w:val="009962E6"/>
    <w:rsid w:val="009B59A4"/>
    <w:rsid w:val="009E1C45"/>
    <w:rsid w:val="00A004F7"/>
    <w:rsid w:val="00A06413"/>
    <w:rsid w:val="00A22A3C"/>
    <w:rsid w:val="00A470A5"/>
    <w:rsid w:val="00A53FC5"/>
    <w:rsid w:val="00A57E98"/>
    <w:rsid w:val="00A61BDE"/>
    <w:rsid w:val="00A6620A"/>
    <w:rsid w:val="00A70080"/>
    <w:rsid w:val="00AA50E5"/>
    <w:rsid w:val="00AD6743"/>
    <w:rsid w:val="00B162B7"/>
    <w:rsid w:val="00B367DA"/>
    <w:rsid w:val="00B6241A"/>
    <w:rsid w:val="00B9023D"/>
    <w:rsid w:val="00B93A92"/>
    <w:rsid w:val="00C23600"/>
    <w:rsid w:val="00C46C1E"/>
    <w:rsid w:val="00C53858"/>
    <w:rsid w:val="00C56CA1"/>
    <w:rsid w:val="00C8071B"/>
    <w:rsid w:val="00C84733"/>
    <w:rsid w:val="00CB146D"/>
    <w:rsid w:val="00CD1181"/>
    <w:rsid w:val="00CF15CA"/>
    <w:rsid w:val="00CF1EFE"/>
    <w:rsid w:val="00D031E7"/>
    <w:rsid w:val="00D42DCF"/>
    <w:rsid w:val="00D812F0"/>
    <w:rsid w:val="00D827B0"/>
    <w:rsid w:val="00DB2528"/>
    <w:rsid w:val="00DB5354"/>
    <w:rsid w:val="00DC2971"/>
    <w:rsid w:val="00DD74FA"/>
    <w:rsid w:val="00DF6AD9"/>
    <w:rsid w:val="00E12E4D"/>
    <w:rsid w:val="00E35753"/>
    <w:rsid w:val="00E52A32"/>
    <w:rsid w:val="00E65D00"/>
    <w:rsid w:val="00E74C94"/>
    <w:rsid w:val="00E830EF"/>
    <w:rsid w:val="00E85D1D"/>
    <w:rsid w:val="00EC7456"/>
    <w:rsid w:val="00EE304E"/>
    <w:rsid w:val="00F0683F"/>
    <w:rsid w:val="00F761F8"/>
    <w:rsid w:val="00F77B1A"/>
    <w:rsid w:val="00FB4514"/>
    <w:rsid w:val="00FE4DF6"/>
    <w:rsid w:val="00FF61D0"/>
    <w:rsid w:val="10476743"/>
    <w:rsid w:val="17F45BE8"/>
    <w:rsid w:val="1DEF5495"/>
    <w:rsid w:val="35EEC466"/>
    <w:rsid w:val="67FF0252"/>
    <w:rsid w:val="ABDEE7C2"/>
    <w:rsid w:val="F47FDDAD"/>
    <w:rsid w:val="FF3B13A1"/>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Date"/>
    <w:basedOn w:val="1"/>
    <w:next w:val="1"/>
    <w:link w:val="15"/>
    <w:semiHidden/>
    <w:unhideWhenUsed/>
    <w:qFormat/>
    <w:uiPriority w:val="99"/>
    <w:pPr>
      <w:ind w:left="100" w:leftChars="2500"/>
    </w:pPr>
  </w:style>
  <w:style w:type="paragraph" w:styleId="4">
    <w:name w:val="Balloon Text"/>
    <w:basedOn w:val="1"/>
    <w:link w:val="18"/>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rPr>
  </w:style>
  <w:style w:type="character" w:styleId="12">
    <w:name w:val="annotation reference"/>
    <w:basedOn w:val="10"/>
    <w:semiHidden/>
    <w:unhideWhenUsed/>
    <w:qFormat/>
    <w:uiPriority w:val="99"/>
    <w:rPr>
      <w:sz w:val="21"/>
      <w:szCs w:val="21"/>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character" w:customStyle="1" w:styleId="15">
    <w:name w:val="日期 字符"/>
    <w:basedOn w:val="10"/>
    <w:link w:val="3"/>
    <w:semiHidden/>
    <w:qFormat/>
    <w:uiPriority w:val="99"/>
    <w:rPr>
      <w:rFonts w:ascii="Calibri" w:hAnsi="Calibri" w:eastAsia="宋体" w:cs="Times New Roman"/>
    </w:rPr>
  </w:style>
  <w:style w:type="character" w:customStyle="1" w:styleId="16">
    <w:name w:val="批注文字 字符"/>
    <w:basedOn w:val="10"/>
    <w:link w:val="2"/>
    <w:semiHidden/>
    <w:qFormat/>
    <w:uiPriority w:val="99"/>
    <w:rPr>
      <w:rFonts w:ascii="Calibri" w:hAnsi="Calibri" w:eastAsia="宋体" w:cs="Times New Roman"/>
    </w:rPr>
  </w:style>
  <w:style w:type="character" w:customStyle="1" w:styleId="17">
    <w:name w:val="批注主题 字符"/>
    <w:basedOn w:val="16"/>
    <w:link w:val="7"/>
    <w:semiHidden/>
    <w:qFormat/>
    <w:uiPriority w:val="99"/>
    <w:rPr>
      <w:rFonts w:ascii="Calibri" w:hAnsi="Calibri" w:eastAsia="宋体" w:cs="Times New Roman"/>
      <w:b/>
      <w:bCs/>
    </w:rPr>
  </w:style>
  <w:style w:type="character" w:customStyle="1" w:styleId="18">
    <w:name w:val="批注框文本 字符"/>
    <w:basedOn w:val="10"/>
    <w:link w:val="4"/>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1130</Words>
  <Characters>1170</Characters>
  <Lines>8</Lines>
  <Paragraphs>2</Paragraphs>
  <TotalTime>32</TotalTime>
  <ScaleCrop>false</ScaleCrop>
  <LinksUpToDate>false</LinksUpToDate>
  <CharactersWithSpaces>1177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2024-05-29T07:34:00Z</dcterms:created>
  <dc:creator>lenovo</dc:creator>
  <cp:lastModifiedBy>南国暖暖</cp:lastModifiedBy>
  <cp:lastPrinted>2024-05-29T07:29:00Z</cp:lastPrinted>
  <dcterms:modified xsi:type="dcterms:W3CDTF">2024-11-26T09:23:47Z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711C0736734D4A9D979491C7F999F9A7_13</vt:lpwstr>
  </property>
</Properties>
</file>