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85239">
      <w:pPr>
        <w:widowControl/>
        <w:shd w:val="clear" w:color="auto" w:fill="FFFFFF"/>
        <w:spacing w:before="100" w:beforeAutospacing="1" w:after="100" w:afterAutospacing="1" w:line="420" w:lineRule="atLeast"/>
        <w:jc w:val="center"/>
        <w:outlineLvl w:val="3"/>
        <w:rPr>
          <w:rFonts w:ascii="方正小标宋简体" w:hAnsi="微软雅黑" w:eastAsia="方正小标宋简体" w:cs="宋体"/>
          <w:bCs/>
          <w:color w:val="333333"/>
          <w:kern w:val="0"/>
          <w:sz w:val="44"/>
          <w:szCs w:val="44"/>
        </w:rPr>
      </w:pPr>
      <w:r>
        <w:rPr>
          <w:rFonts w:hint="eastAsia" w:ascii="方正小标宋简体" w:hAnsi="微软雅黑" w:eastAsia="方正小标宋简体" w:cs="宋体"/>
          <w:bCs/>
          <w:color w:val="333333"/>
          <w:kern w:val="0"/>
          <w:sz w:val="44"/>
          <w:szCs w:val="44"/>
        </w:rPr>
        <w:t>睿信书院2024-2025学年第一学期</w:t>
      </w:r>
      <w:r>
        <w:rPr>
          <w:rFonts w:hint="eastAsia" w:ascii="方正小标宋简体" w:hAnsi="微软雅黑" w:eastAsia="方正小标宋简体" w:cs="宋体"/>
          <w:bCs/>
          <w:color w:val="333333"/>
          <w:kern w:val="0"/>
          <w:sz w:val="44"/>
          <w:szCs w:val="44"/>
        </w:rPr>
        <w:br w:type="textWrapping"/>
      </w:r>
      <w:r>
        <w:rPr>
          <w:rFonts w:hint="eastAsia" w:ascii="方正小标宋简体" w:hAnsi="微软雅黑" w:eastAsia="方正小标宋简体" w:cs="宋体"/>
          <w:bCs/>
          <w:color w:val="333333"/>
          <w:kern w:val="0"/>
          <w:sz w:val="44"/>
          <w:szCs w:val="44"/>
        </w:rPr>
        <w:t>转专业安排实施细则</w:t>
      </w:r>
    </w:p>
    <w:p w14:paraId="7B5568C1">
      <w:pPr>
        <w:widowControl/>
        <w:shd w:val="clear" w:color="auto" w:fill="FFFFFF"/>
        <w:spacing w:line="360" w:lineRule="auto"/>
        <w:ind w:firstLine="482"/>
        <w:rPr>
          <w:rFonts w:ascii="宋体" w:hAnsi="宋体" w:eastAsia="宋体" w:cs="宋体"/>
          <w:bCs/>
          <w:color w:val="333333"/>
          <w:kern w:val="0"/>
          <w:sz w:val="24"/>
          <w:szCs w:val="24"/>
        </w:rPr>
      </w:pPr>
      <w:r>
        <w:rPr>
          <w:rFonts w:hint="eastAsia" w:ascii="宋体" w:hAnsi="宋体" w:eastAsia="宋体" w:cs="宋体"/>
          <w:bCs/>
          <w:color w:val="333333"/>
          <w:kern w:val="0"/>
          <w:sz w:val="24"/>
          <w:szCs w:val="24"/>
        </w:rPr>
        <w:t>根据《北京理工大学本科生学籍管理细则》（北理工办发〔2019〕75号）和教务部《关于2024-2025学年第一学期转专业安排的通知》的要求，为做好我院接收转专业学生工作，结合睿信书院实际情况，特制定本工作办法。</w:t>
      </w:r>
    </w:p>
    <w:p w14:paraId="5A34DE3E">
      <w:pPr>
        <w:widowControl/>
        <w:shd w:val="clear" w:color="auto" w:fill="FFFFFF"/>
        <w:spacing w:line="360" w:lineRule="auto"/>
        <w:jc w:val="left"/>
        <w:rPr>
          <w:rFonts w:ascii="宋体" w:hAnsi="宋体" w:eastAsia="宋体" w:cs="宋体"/>
          <w:b/>
          <w:bCs/>
          <w:color w:val="333333"/>
          <w:kern w:val="0"/>
          <w:sz w:val="24"/>
          <w:szCs w:val="24"/>
        </w:rPr>
      </w:pPr>
      <w:r>
        <w:rPr>
          <w:rFonts w:hint="eastAsia" w:ascii="宋体" w:hAnsi="宋体" w:eastAsia="宋体" w:cs="宋体"/>
          <w:b/>
          <w:bCs/>
          <w:color w:val="333333"/>
          <w:kern w:val="0"/>
          <w:sz w:val="24"/>
          <w:szCs w:val="24"/>
        </w:rPr>
        <w:t>一、工作小组</w:t>
      </w:r>
    </w:p>
    <w:p w14:paraId="0D897EF8">
      <w:pPr>
        <w:spacing w:line="360" w:lineRule="auto"/>
        <w:ind w:firstLine="480"/>
        <w:rPr>
          <w:rFonts w:ascii="宋体" w:hAnsi="宋体" w:cs="宋体"/>
          <w:bCs/>
          <w:color w:val="000000"/>
          <w:kern w:val="0"/>
          <w:sz w:val="24"/>
          <w:szCs w:val="28"/>
        </w:rPr>
      </w:pPr>
      <w:r>
        <w:rPr>
          <w:rFonts w:hint="eastAsia" w:ascii="宋体" w:hAnsi="宋体" w:cs="宋体"/>
          <w:bCs/>
          <w:color w:val="000000"/>
          <w:kern w:val="0"/>
          <w:sz w:val="24"/>
          <w:szCs w:val="28"/>
        </w:rPr>
        <w:t>睿信书院成立</w:t>
      </w:r>
      <w:r>
        <w:rPr>
          <w:rFonts w:hint="eastAsia" w:ascii="宋体" w:hAnsi="宋体" w:eastAsia="宋体" w:cs="宋体"/>
          <w:bCs/>
          <w:color w:val="333333"/>
          <w:kern w:val="0"/>
          <w:sz w:val="24"/>
          <w:szCs w:val="24"/>
        </w:rPr>
        <w:t>2024级本科生转专业</w:t>
      </w:r>
      <w:r>
        <w:rPr>
          <w:rFonts w:hint="eastAsia" w:ascii="宋体" w:hAnsi="宋体" w:cs="宋体"/>
          <w:bCs/>
          <w:color w:val="000000"/>
          <w:kern w:val="0"/>
          <w:sz w:val="24"/>
          <w:szCs w:val="28"/>
        </w:rPr>
        <w:t>领导小组和工作小组。领导小组由书院学院联席会议成员组成。工作小组组成如下：</w:t>
      </w:r>
    </w:p>
    <w:p w14:paraId="3C6A0203">
      <w:pPr>
        <w:widowControl/>
        <w:shd w:val="clear" w:color="auto" w:fill="FFFFFF"/>
        <w:spacing w:line="360" w:lineRule="auto"/>
        <w:ind w:firstLine="482"/>
        <w:rPr>
          <w:rFonts w:ascii="宋体" w:hAnsi="宋体" w:eastAsia="宋体" w:cs="宋体"/>
          <w:bCs/>
          <w:color w:val="333333"/>
          <w:kern w:val="0"/>
          <w:sz w:val="24"/>
          <w:szCs w:val="24"/>
        </w:rPr>
      </w:pPr>
      <w:r>
        <w:rPr>
          <w:rFonts w:hint="eastAsia" w:ascii="宋体" w:hAnsi="宋体" w:eastAsia="宋体" w:cs="宋体"/>
          <w:bCs/>
          <w:color w:val="333333"/>
          <w:kern w:val="0"/>
          <w:sz w:val="24"/>
          <w:szCs w:val="24"/>
        </w:rPr>
        <w:t>组长：司黎明、王博</w:t>
      </w:r>
    </w:p>
    <w:p w14:paraId="4E023CF8">
      <w:pPr>
        <w:widowControl/>
        <w:shd w:val="clear" w:color="auto" w:fill="FFFFFF"/>
        <w:spacing w:line="360" w:lineRule="auto"/>
        <w:ind w:firstLine="482"/>
        <w:rPr>
          <w:rFonts w:ascii="宋体" w:hAnsi="宋体" w:eastAsia="宋体" w:cs="宋体"/>
          <w:bCs/>
          <w:color w:val="333333"/>
          <w:kern w:val="0"/>
          <w:sz w:val="24"/>
          <w:szCs w:val="24"/>
        </w:rPr>
      </w:pPr>
      <w:r>
        <w:rPr>
          <w:rFonts w:hint="eastAsia" w:ascii="宋体" w:hAnsi="宋体" w:eastAsia="宋体" w:cs="宋体"/>
          <w:bCs/>
          <w:color w:val="333333"/>
          <w:kern w:val="0"/>
          <w:sz w:val="24"/>
          <w:szCs w:val="24"/>
        </w:rPr>
        <w:t>副组长：黄一帆、张延军、杨凯、薛静锋、杨毅</w:t>
      </w:r>
    </w:p>
    <w:p w14:paraId="6D6DD295">
      <w:pPr>
        <w:widowControl/>
        <w:shd w:val="clear" w:color="auto" w:fill="FFFFFF"/>
        <w:spacing w:line="360" w:lineRule="auto"/>
        <w:ind w:firstLine="482"/>
        <w:rPr>
          <w:rFonts w:ascii="宋体" w:hAnsi="宋体" w:cs="宋体"/>
          <w:bCs/>
          <w:color w:val="333333"/>
          <w:kern w:val="0"/>
          <w:sz w:val="24"/>
          <w:szCs w:val="24"/>
        </w:rPr>
      </w:pPr>
      <w:r>
        <w:rPr>
          <w:rFonts w:hint="eastAsia" w:ascii="宋体" w:hAnsi="宋体" w:cs="宋体"/>
          <w:bCs/>
          <w:color w:val="000000"/>
          <w:kern w:val="0"/>
          <w:sz w:val="24"/>
          <w:szCs w:val="28"/>
        </w:rPr>
        <w:t>成员：秦奎伟、甘凤妍、王文静、康佳、赵宏亚</w:t>
      </w:r>
    </w:p>
    <w:p w14:paraId="2EA3BAF3">
      <w:pPr>
        <w:widowControl/>
        <w:shd w:val="clear" w:color="auto" w:fill="FFFFFF"/>
        <w:spacing w:line="360" w:lineRule="auto"/>
        <w:jc w:val="left"/>
        <w:rPr>
          <w:rFonts w:ascii="宋体" w:hAnsi="宋体" w:eastAsia="宋体" w:cs="宋体"/>
          <w:b/>
          <w:bCs/>
          <w:color w:val="333333"/>
          <w:kern w:val="0"/>
          <w:sz w:val="24"/>
          <w:szCs w:val="24"/>
        </w:rPr>
      </w:pPr>
      <w:r>
        <w:rPr>
          <w:rFonts w:hint="eastAsia" w:ascii="宋体" w:hAnsi="宋体" w:eastAsia="宋体" w:cs="宋体"/>
          <w:b/>
          <w:bCs/>
          <w:color w:val="333333"/>
          <w:kern w:val="0"/>
          <w:sz w:val="24"/>
          <w:szCs w:val="24"/>
        </w:rPr>
        <w:t>二、工作原则</w:t>
      </w:r>
    </w:p>
    <w:p w14:paraId="00F8A673">
      <w:pPr>
        <w:widowControl/>
        <w:shd w:val="clear" w:color="auto" w:fill="FFFFFF"/>
        <w:spacing w:line="360" w:lineRule="auto"/>
        <w:ind w:firstLine="482"/>
        <w:rPr>
          <w:rFonts w:ascii="宋体" w:hAnsi="宋体" w:eastAsia="宋体" w:cs="宋体"/>
          <w:color w:val="333333"/>
          <w:kern w:val="0"/>
          <w:sz w:val="24"/>
          <w:szCs w:val="24"/>
        </w:rPr>
      </w:pPr>
      <w:r>
        <w:rPr>
          <w:rFonts w:hint="eastAsia" w:ascii="宋体" w:hAnsi="宋体" w:eastAsia="宋体" w:cs="宋体"/>
          <w:color w:val="333333"/>
          <w:kern w:val="0"/>
          <w:sz w:val="24"/>
          <w:szCs w:val="24"/>
        </w:rPr>
        <w:t>1．根据《北京理工大学本科生管理规定》,学生在学习期间对其他专业有兴趣和专长的，可以申请转专业；以特殊招生形式录取的、国家有相关规定或者录取前与学校有明确约定不得转专业的学生除外。</w:t>
      </w:r>
    </w:p>
    <w:p w14:paraId="0E4F8A93">
      <w:pPr>
        <w:widowControl/>
        <w:shd w:val="clear" w:color="auto" w:fill="FFFFFF"/>
        <w:spacing w:line="360" w:lineRule="auto"/>
        <w:ind w:firstLine="482"/>
        <w:rPr>
          <w:rFonts w:ascii="宋体" w:hAnsi="宋体" w:eastAsia="宋体" w:cs="宋体"/>
          <w:color w:val="333333"/>
          <w:kern w:val="0"/>
          <w:sz w:val="24"/>
          <w:szCs w:val="24"/>
        </w:rPr>
      </w:pPr>
      <w:r>
        <w:rPr>
          <w:rFonts w:ascii="宋体" w:hAnsi="宋体" w:eastAsia="宋体" w:cs="宋体"/>
          <w:bCs/>
          <w:color w:val="333333"/>
          <w:kern w:val="0"/>
          <w:sz w:val="24"/>
          <w:szCs w:val="24"/>
        </w:rPr>
        <w:t>2</w:t>
      </w:r>
      <w:r>
        <w:rPr>
          <w:rFonts w:hint="eastAsia" w:ascii="宋体" w:hAnsi="宋体" w:eastAsia="宋体" w:cs="宋体"/>
          <w:bCs/>
          <w:color w:val="333333"/>
          <w:kern w:val="0"/>
          <w:sz w:val="24"/>
          <w:szCs w:val="24"/>
        </w:rPr>
        <w:t>．</w:t>
      </w:r>
      <w:r>
        <w:rPr>
          <w:rFonts w:hint="eastAsia" w:ascii="宋体" w:hAnsi="宋体" w:eastAsia="宋体" w:cs="宋体"/>
          <w:color w:val="333333"/>
          <w:kern w:val="0"/>
          <w:sz w:val="24"/>
          <w:szCs w:val="24"/>
        </w:rPr>
        <w:t>接收转专业学生坚持公开、公平、公正的基本原则，确保接收标准严格明确、接收程序高度透明。</w:t>
      </w:r>
    </w:p>
    <w:p w14:paraId="2F9308BE">
      <w:pPr>
        <w:widowControl/>
        <w:shd w:val="clear" w:color="auto" w:fill="FFFFFF"/>
        <w:spacing w:line="360" w:lineRule="auto"/>
        <w:ind w:firstLine="482"/>
        <w:rPr>
          <w:rFonts w:ascii="宋体" w:hAnsi="宋体" w:eastAsia="宋体" w:cs="宋体"/>
          <w:color w:val="333333"/>
          <w:kern w:val="0"/>
          <w:sz w:val="24"/>
          <w:szCs w:val="24"/>
        </w:rPr>
      </w:pPr>
      <w:r>
        <w:rPr>
          <w:rFonts w:ascii="宋体" w:hAnsi="宋体" w:eastAsia="宋体" w:cs="宋体"/>
          <w:color w:val="333333"/>
          <w:kern w:val="0"/>
          <w:sz w:val="24"/>
          <w:szCs w:val="24"/>
        </w:rPr>
        <w:t>3</w:t>
      </w:r>
      <w:r>
        <w:rPr>
          <w:rFonts w:hint="eastAsia" w:ascii="宋体" w:hAnsi="宋体" w:eastAsia="宋体" w:cs="宋体"/>
          <w:color w:val="333333"/>
          <w:kern w:val="0"/>
          <w:sz w:val="24"/>
          <w:szCs w:val="24"/>
        </w:rPr>
        <w:t>．书院转专业接收工作过程中严格执行集体议事和集体决策制度。</w:t>
      </w:r>
    </w:p>
    <w:p w14:paraId="2C9A081D">
      <w:pPr>
        <w:widowControl/>
        <w:shd w:val="clear" w:color="auto" w:fill="FFFFFF"/>
        <w:spacing w:line="360" w:lineRule="auto"/>
        <w:jc w:val="left"/>
        <w:rPr>
          <w:rFonts w:ascii="宋体" w:hAnsi="宋体" w:eastAsia="宋体" w:cs="宋体"/>
          <w:b/>
          <w:color w:val="333333"/>
          <w:kern w:val="0"/>
          <w:szCs w:val="21"/>
        </w:rPr>
      </w:pPr>
      <w:r>
        <w:rPr>
          <w:rFonts w:hint="eastAsia" w:ascii="宋体" w:hAnsi="宋体" w:eastAsia="宋体" w:cs="宋体"/>
          <w:b/>
          <w:color w:val="333333"/>
          <w:kern w:val="0"/>
          <w:sz w:val="24"/>
          <w:szCs w:val="24"/>
        </w:rPr>
        <w:t>三、转专业条件</w:t>
      </w:r>
    </w:p>
    <w:p w14:paraId="50FAE16A">
      <w:pPr>
        <w:widowControl/>
        <w:shd w:val="clear" w:color="auto" w:fill="FFFFFF"/>
        <w:spacing w:line="360" w:lineRule="auto"/>
        <w:ind w:firstLine="482"/>
        <w:rPr>
          <w:rFonts w:ascii="宋体" w:hAnsi="宋体" w:eastAsia="宋体" w:cs="宋体"/>
          <w:color w:val="333333"/>
          <w:kern w:val="0"/>
          <w:sz w:val="24"/>
          <w:szCs w:val="24"/>
        </w:rPr>
      </w:pPr>
      <w:r>
        <w:rPr>
          <w:rFonts w:hint="eastAsia" w:ascii="宋体" w:hAnsi="宋体" w:eastAsia="宋体" w:cs="宋体"/>
          <w:color w:val="333333"/>
          <w:kern w:val="0"/>
          <w:sz w:val="24"/>
          <w:szCs w:val="24"/>
        </w:rPr>
        <w:t>1．申请转入睿信书院的学生须符合教务部《</w:t>
      </w:r>
      <w:r>
        <w:rPr>
          <w:rFonts w:hint="eastAsia" w:ascii="宋体" w:hAnsi="宋体" w:eastAsia="宋体" w:cs="宋体"/>
          <w:bCs/>
          <w:color w:val="333333"/>
          <w:kern w:val="0"/>
          <w:sz w:val="24"/>
          <w:szCs w:val="24"/>
        </w:rPr>
        <w:t>关于2024-2025学年第一学期转专业安排的通知</w:t>
      </w:r>
      <w:r>
        <w:rPr>
          <w:rFonts w:hint="eastAsia" w:ascii="宋体" w:hAnsi="宋体" w:eastAsia="宋体" w:cs="宋体"/>
          <w:color w:val="333333"/>
          <w:kern w:val="0"/>
          <w:sz w:val="24"/>
          <w:szCs w:val="24"/>
        </w:rPr>
        <w:t>》中的相关要求，须为北京理工大学在籍注册本科学生；学生必须拥护中国共产党的领导，热爱祖国，遵纪守法，无违反学校纪律受到处分记录；做人诚实守信，无考试作弊行为记录；优先考虑信息科学技术和电子信息相关课程成绩较好、有专业特长及专业发展潜质的同学。</w:t>
      </w:r>
    </w:p>
    <w:p w14:paraId="24CAE05E">
      <w:pPr>
        <w:widowControl/>
        <w:shd w:val="clear" w:color="auto" w:fill="FFFFFF"/>
        <w:spacing w:line="360" w:lineRule="auto"/>
        <w:ind w:firstLine="482"/>
        <w:jc w:val="left"/>
        <w:rPr>
          <w:rFonts w:ascii="宋体" w:hAnsi="宋体" w:eastAsia="宋体" w:cs="宋体"/>
          <w:kern w:val="0"/>
          <w:sz w:val="24"/>
          <w:szCs w:val="24"/>
        </w:rPr>
      </w:pPr>
      <w:r>
        <w:rPr>
          <w:rFonts w:hint="eastAsia" w:ascii="宋体" w:hAnsi="宋体" w:eastAsia="宋体" w:cs="宋体"/>
          <w:kern w:val="0"/>
          <w:sz w:val="24"/>
          <w:szCs w:val="24"/>
        </w:rPr>
        <w:t>2．睿信书院不接收第二志愿和高考未参加物理科目考试的学生。</w:t>
      </w:r>
    </w:p>
    <w:p w14:paraId="3E7AF461">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kern w:val="0"/>
          <w:sz w:val="24"/>
          <w:szCs w:val="24"/>
        </w:rPr>
        <w:t>3．</w:t>
      </w:r>
      <w:r>
        <w:rPr>
          <w:rFonts w:hint="eastAsia" w:ascii="宋体" w:hAnsi="宋体" w:eastAsia="宋体" w:cs="宋体"/>
          <w:color w:val="333333"/>
          <w:kern w:val="0"/>
          <w:sz w:val="24"/>
          <w:szCs w:val="24"/>
        </w:rPr>
        <w:t>申请人须通过书院面试方可转入。由专家组以面试形式考查学生的综合能力和培养潜力，采用打分制，总分100分，成绩不足60分不予接收。</w:t>
      </w:r>
    </w:p>
    <w:p w14:paraId="04F1F8EE">
      <w:pPr>
        <w:widowControl/>
        <w:shd w:val="clear" w:color="auto" w:fill="FFFFFF"/>
        <w:spacing w:line="360" w:lineRule="auto"/>
        <w:ind w:firstLine="482"/>
        <w:jc w:val="left"/>
        <w:rPr>
          <w:rFonts w:ascii="宋体" w:hAnsi="宋体" w:eastAsia="宋体" w:cs="宋体"/>
          <w:color w:val="333333"/>
          <w:kern w:val="0"/>
          <w:sz w:val="24"/>
          <w:szCs w:val="24"/>
        </w:rPr>
      </w:pPr>
      <w:r>
        <w:rPr>
          <w:rFonts w:ascii="宋体" w:hAnsi="宋体" w:eastAsia="宋体" w:cs="宋体"/>
          <w:color w:val="333333"/>
          <w:kern w:val="0"/>
          <w:sz w:val="24"/>
          <w:szCs w:val="24"/>
        </w:rPr>
        <w:t>4.</w:t>
      </w:r>
      <w:r>
        <w:rPr>
          <w:rFonts w:hint="eastAsia" w:ascii="宋体" w:hAnsi="宋体" w:eastAsia="宋体" w:cs="宋体"/>
          <w:color w:val="333333"/>
          <w:kern w:val="0"/>
          <w:sz w:val="24"/>
          <w:szCs w:val="24"/>
        </w:rPr>
        <w:t xml:space="preserve"> 申请转入睿信书院的学生需无挂科课程记录。书院按照拟接收人数，综合考虑学生面试成绩和第一学期课程成绩，择优录取。</w:t>
      </w:r>
    </w:p>
    <w:p w14:paraId="67892245">
      <w:pPr>
        <w:widowControl/>
        <w:shd w:val="clear" w:color="auto" w:fill="FFFFFF"/>
        <w:spacing w:line="360" w:lineRule="auto"/>
        <w:jc w:val="left"/>
        <w:rPr>
          <w:rFonts w:ascii="宋体" w:hAnsi="宋体" w:eastAsia="宋体" w:cs="宋体"/>
          <w:b/>
          <w:color w:val="333333"/>
          <w:kern w:val="0"/>
          <w:szCs w:val="21"/>
        </w:rPr>
      </w:pPr>
      <w:r>
        <w:rPr>
          <w:rFonts w:hint="eastAsia" w:ascii="宋体" w:hAnsi="宋体" w:eastAsia="宋体" w:cs="宋体"/>
          <w:b/>
          <w:color w:val="333333"/>
          <w:kern w:val="0"/>
          <w:sz w:val="24"/>
          <w:szCs w:val="24"/>
        </w:rPr>
        <w:t>四、拟接收名额</w:t>
      </w:r>
    </w:p>
    <w:p w14:paraId="00095821">
      <w:pPr>
        <w:widowControl/>
        <w:shd w:val="clear" w:color="auto" w:fill="FFFFFF"/>
        <w:spacing w:line="360" w:lineRule="auto"/>
        <w:ind w:firstLine="482"/>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根据睿信书院实际办学条件、书院办学的总体布局及现有学生人数，转专业拟接收人数具体如下：</w:t>
      </w:r>
    </w:p>
    <w:tbl>
      <w:tblPr>
        <w:tblStyle w:val="9"/>
        <w:tblW w:w="4687"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14"/>
        <w:gridCol w:w="3958"/>
        <w:gridCol w:w="2623"/>
      </w:tblGrid>
      <w:tr w14:paraId="39FD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79" w:type="pct"/>
            <w:shd w:val="clear" w:color="auto" w:fill="BFBFBF"/>
            <w:vAlign w:val="center"/>
          </w:tcPr>
          <w:p w14:paraId="7C2BAC54">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b/>
                <w:bCs/>
                <w:color w:val="333333"/>
                <w:kern w:val="0"/>
                <w:sz w:val="24"/>
                <w:szCs w:val="24"/>
              </w:rPr>
              <w:t>年级</w:t>
            </w:r>
          </w:p>
        </w:tc>
        <w:tc>
          <w:tcPr>
            <w:tcW w:w="2539" w:type="pct"/>
            <w:shd w:val="clear" w:color="auto" w:fill="BFBFBF"/>
            <w:vAlign w:val="center"/>
          </w:tcPr>
          <w:p w14:paraId="17C473BC">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b/>
                <w:bCs/>
                <w:color w:val="333333"/>
                <w:kern w:val="0"/>
                <w:sz w:val="24"/>
                <w:szCs w:val="24"/>
              </w:rPr>
              <w:t>专业</w:t>
            </w:r>
          </w:p>
        </w:tc>
        <w:tc>
          <w:tcPr>
            <w:tcW w:w="1682" w:type="pct"/>
            <w:shd w:val="clear" w:color="auto" w:fill="BFBFBF"/>
            <w:vAlign w:val="center"/>
          </w:tcPr>
          <w:p w14:paraId="665695F2">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b/>
                <w:bCs/>
                <w:color w:val="333333"/>
                <w:kern w:val="0"/>
                <w:sz w:val="24"/>
                <w:szCs w:val="24"/>
              </w:rPr>
              <w:t>拟接收人数</w:t>
            </w:r>
          </w:p>
        </w:tc>
      </w:tr>
      <w:tr w14:paraId="310C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79" w:type="pct"/>
            <w:vAlign w:val="center"/>
          </w:tcPr>
          <w:p w14:paraId="6346FFD9">
            <w:pPr>
              <w:widowControl/>
              <w:spacing w:before="100" w:beforeAutospacing="1" w:after="100" w:afterAutospacing="1" w:line="420" w:lineRule="atLeast"/>
              <w:jc w:val="center"/>
              <w:rPr>
                <w:rFonts w:ascii="微软雅黑" w:hAnsi="微软雅黑" w:eastAsia="微软雅黑" w:cs="宋体"/>
                <w:color w:val="333333"/>
                <w:kern w:val="0"/>
                <w:sz w:val="18"/>
                <w:szCs w:val="18"/>
              </w:rPr>
            </w:pPr>
            <w:r>
              <w:rPr>
                <w:rFonts w:hint="eastAsia" w:ascii="仿宋_GB2312" w:hAnsi="微软雅黑" w:eastAsia="仿宋_GB2312" w:cs="宋体"/>
                <w:color w:val="333333"/>
                <w:kern w:val="0"/>
                <w:sz w:val="24"/>
                <w:szCs w:val="24"/>
              </w:rPr>
              <w:t>2024级</w:t>
            </w:r>
          </w:p>
        </w:tc>
        <w:tc>
          <w:tcPr>
            <w:tcW w:w="2539" w:type="pct"/>
            <w:vAlign w:val="center"/>
          </w:tcPr>
          <w:p w14:paraId="2D77AA40">
            <w:pPr>
              <w:widowControl/>
              <w:spacing w:before="100" w:beforeAutospacing="1" w:after="100" w:afterAutospacing="1" w:line="420" w:lineRule="atLeast"/>
              <w:jc w:val="center"/>
              <w:rPr>
                <w:rFonts w:ascii="仿宋_GB2312" w:hAnsi="微软雅黑" w:eastAsia="仿宋_GB2312" w:cs="宋体"/>
                <w:color w:val="333333"/>
                <w:kern w:val="0"/>
                <w:sz w:val="24"/>
                <w:szCs w:val="24"/>
              </w:rPr>
            </w:pPr>
            <w:r>
              <w:rPr>
                <w:rFonts w:hint="eastAsia" w:ascii="仿宋_GB2312" w:hAnsi="微软雅黑" w:eastAsia="仿宋_GB2312" w:cs="宋体"/>
                <w:color w:val="333333"/>
                <w:kern w:val="0"/>
                <w:sz w:val="24"/>
                <w:szCs w:val="24"/>
              </w:rPr>
              <w:t>信息科学技术类</w:t>
            </w:r>
          </w:p>
        </w:tc>
        <w:tc>
          <w:tcPr>
            <w:tcW w:w="1682" w:type="pct"/>
            <w:vAlign w:val="center"/>
          </w:tcPr>
          <w:p w14:paraId="6F1673A7">
            <w:pPr>
              <w:widowControl/>
              <w:spacing w:before="100" w:beforeAutospacing="1" w:after="100" w:afterAutospacing="1" w:line="420" w:lineRule="atLeast"/>
              <w:jc w:val="center"/>
              <w:rPr>
                <w:rFonts w:ascii="仿宋_GB2312" w:hAnsi="微软雅黑" w:eastAsia="仿宋_GB2312" w:cs="宋体"/>
                <w:color w:val="333333"/>
                <w:kern w:val="0"/>
                <w:sz w:val="24"/>
                <w:szCs w:val="24"/>
                <w:highlight w:val="none"/>
              </w:rPr>
            </w:pPr>
            <w:r>
              <w:rPr>
                <w:rFonts w:hint="eastAsia" w:ascii="仿宋_GB2312" w:hAnsi="微软雅黑" w:eastAsia="仿宋_GB2312" w:cs="宋体"/>
                <w:color w:val="333333"/>
                <w:kern w:val="0"/>
                <w:sz w:val="24"/>
                <w:szCs w:val="24"/>
                <w:highlight w:val="none"/>
              </w:rPr>
              <w:t>1</w:t>
            </w:r>
            <w:r>
              <w:rPr>
                <w:rFonts w:ascii="仿宋_GB2312" w:hAnsi="微软雅黑" w:eastAsia="仿宋_GB2312" w:cs="宋体"/>
                <w:color w:val="333333"/>
                <w:kern w:val="0"/>
                <w:sz w:val="24"/>
                <w:szCs w:val="24"/>
                <w:highlight w:val="none"/>
              </w:rPr>
              <w:t>5</w:t>
            </w:r>
          </w:p>
        </w:tc>
      </w:tr>
      <w:tr w14:paraId="2F251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79" w:type="pct"/>
            <w:vAlign w:val="center"/>
          </w:tcPr>
          <w:p w14:paraId="11150B7B">
            <w:pPr>
              <w:widowControl/>
              <w:spacing w:before="100" w:beforeAutospacing="1" w:after="100" w:afterAutospacing="1" w:line="420" w:lineRule="atLeast"/>
              <w:jc w:val="center"/>
              <w:rPr>
                <w:rFonts w:ascii="仿宋_GB2312" w:hAnsi="微软雅黑" w:eastAsia="仿宋_GB2312" w:cs="宋体"/>
                <w:color w:val="333333"/>
                <w:kern w:val="0"/>
                <w:sz w:val="24"/>
                <w:szCs w:val="24"/>
              </w:rPr>
            </w:pPr>
            <w:r>
              <w:rPr>
                <w:rFonts w:hint="eastAsia" w:ascii="仿宋_GB2312" w:hAnsi="微软雅黑" w:eastAsia="仿宋_GB2312" w:cs="宋体"/>
                <w:color w:val="333333"/>
                <w:kern w:val="0"/>
                <w:sz w:val="24"/>
                <w:szCs w:val="24"/>
              </w:rPr>
              <w:t>2</w:t>
            </w:r>
            <w:r>
              <w:rPr>
                <w:rFonts w:ascii="仿宋_GB2312" w:hAnsi="微软雅黑" w:eastAsia="仿宋_GB2312" w:cs="宋体"/>
                <w:color w:val="333333"/>
                <w:kern w:val="0"/>
                <w:sz w:val="24"/>
                <w:szCs w:val="24"/>
              </w:rPr>
              <w:t>02</w:t>
            </w:r>
            <w:r>
              <w:rPr>
                <w:rFonts w:hint="eastAsia" w:ascii="仿宋_GB2312" w:hAnsi="微软雅黑" w:eastAsia="仿宋_GB2312" w:cs="宋体"/>
                <w:color w:val="333333"/>
                <w:kern w:val="0"/>
                <w:sz w:val="24"/>
                <w:szCs w:val="24"/>
              </w:rPr>
              <w:t>4级</w:t>
            </w:r>
          </w:p>
        </w:tc>
        <w:tc>
          <w:tcPr>
            <w:tcW w:w="2539" w:type="pct"/>
            <w:vAlign w:val="center"/>
          </w:tcPr>
          <w:p w14:paraId="09204901">
            <w:pPr>
              <w:widowControl/>
              <w:spacing w:before="100" w:beforeAutospacing="1" w:after="100" w:afterAutospacing="1" w:line="420" w:lineRule="atLeast"/>
              <w:jc w:val="center"/>
              <w:rPr>
                <w:rFonts w:ascii="仿宋_GB2312" w:hAnsi="微软雅黑" w:eastAsia="仿宋_GB2312" w:cs="宋体"/>
                <w:color w:val="333333"/>
                <w:kern w:val="0"/>
                <w:sz w:val="24"/>
                <w:szCs w:val="24"/>
              </w:rPr>
            </w:pPr>
            <w:r>
              <w:rPr>
                <w:rFonts w:hint="eastAsia" w:ascii="仿宋_GB2312" w:hAnsi="微软雅黑" w:eastAsia="仿宋_GB2312" w:cs="宋体"/>
                <w:color w:val="333333"/>
                <w:kern w:val="0"/>
                <w:sz w:val="24"/>
                <w:szCs w:val="24"/>
              </w:rPr>
              <w:t>电子信息实验班</w:t>
            </w:r>
          </w:p>
        </w:tc>
        <w:tc>
          <w:tcPr>
            <w:tcW w:w="1682" w:type="pct"/>
            <w:vAlign w:val="center"/>
          </w:tcPr>
          <w:p w14:paraId="4E25D44A">
            <w:pPr>
              <w:widowControl/>
              <w:spacing w:before="100" w:beforeAutospacing="1" w:after="100" w:afterAutospacing="1" w:line="420" w:lineRule="atLeast"/>
              <w:jc w:val="center"/>
              <w:rPr>
                <w:rFonts w:hint="default" w:ascii="仿宋_GB2312" w:hAnsi="微软雅黑" w:eastAsia="仿宋_GB2312" w:cs="宋体"/>
                <w:color w:val="333333"/>
                <w:kern w:val="0"/>
                <w:sz w:val="24"/>
                <w:szCs w:val="24"/>
                <w:highlight w:val="none"/>
                <w:lang w:val="en-US" w:eastAsia="zh-CN"/>
              </w:rPr>
            </w:pPr>
            <w:r>
              <w:rPr>
                <w:rFonts w:hint="eastAsia" w:ascii="仿宋_GB2312" w:hAnsi="微软雅黑" w:eastAsia="仿宋_GB2312" w:cs="宋体"/>
                <w:color w:val="333333"/>
                <w:kern w:val="0"/>
                <w:sz w:val="24"/>
                <w:szCs w:val="24"/>
                <w:highlight w:val="none"/>
                <w:lang w:val="en-US" w:eastAsia="zh-CN"/>
              </w:rPr>
              <w:t>10</w:t>
            </w:r>
            <w:bookmarkStart w:id="0" w:name="_GoBack"/>
            <w:bookmarkEnd w:id="0"/>
          </w:p>
        </w:tc>
      </w:tr>
    </w:tbl>
    <w:p w14:paraId="02F921A2">
      <w:pPr>
        <w:widowControl/>
        <w:shd w:val="clear" w:color="auto" w:fill="FFFFFF"/>
        <w:spacing w:before="156" w:beforeLines="50" w:line="360" w:lineRule="auto"/>
        <w:jc w:val="left"/>
        <w:rPr>
          <w:rFonts w:ascii="宋体" w:hAnsi="宋体" w:eastAsia="宋体" w:cs="宋体"/>
          <w:b/>
          <w:color w:val="333333"/>
          <w:kern w:val="0"/>
          <w:sz w:val="24"/>
          <w:szCs w:val="24"/>
        </w:rPr>
      </w:pPr>
      <w:r>
        <w:rPr>
          <w:rFonts w:hint="eastAsia" w:ascii="宋体" w:hAnsi="宋体" w:eastAsia="宋体" w:cs="宋体"/>
          <w:b/>
          <w:color w:val="333333"/>
          <w:kern w:val="0"/>
          <w:sz w:val="24"/>
          <w:szCs w:val="24"/>
        </w:rPr>
        <w:t>五、时间节点</w:t>
      </w:r>
    </w:p>
    <w:p w14:paraId="66A15AFF">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1．2024年12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rPr>
        <w:t>1</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-2024年12月8日：</w:t>
      </w:r>
      <w:r>
        <w:rPr>
          <w:rFonts w:ascii="宋体" w:hAnsi="宋体" w:eastAsia="宋体" w:cs="Times New Roman"/>
          <w:color w:val="333333"/>
          <w:kern w:val="0"/>
          <w:sz w:val="24"/>
          <w:szCs w:val="24"/>
        </w:rPr>
        <w:t>公布拟接收条件和名额，公布接收转专业学生实施办法</w:t>
      </w:r>
      <w:r>
        <w:rPr>
          <w:rFonts w:hint="eastAsia" w:ascii="宋体" w:hAnsi="宋体" w:eastAsia="宋体" w:cs="Times New Roman"/>
          <w:color w:val="333333"/>
          <w:kern w:val="0"/>
          <w:sz w:val="24"/>
          <w:szCs w:val="24"/>
        </w:rPr>
        <w:t>；</w:t>
      </w:r>
      <w:r>
        <w:rPr>
          <w:rFonts w:ascii="宋体" w:hAnsi="宋体" w:eastAsia="宋体" w:cs="Times New Roman"/>
          <w:color w:val="333333"/>
          <w:kern w:val="0"/>
          <w:sz w:val="24"/>
          <w:szCs w:val="24"/>
        </w:rPr>
        <w:t>学生</w:t>
      </w:r>
      <w:r>
        <w:rPr>
          <w:rFonts w:hint="eastAsia" w:ascii="宋体" w:hAnsi="宋体" w:eastAsia="宋体" w:cs="Times New Roman"/>
          <w:color w:val="333333"/>
          <w:kern w:val="0"/>
          <w:sz w:val="24"/>
          <w:szCs w:val="24"/>
        </w:rPr>
        <w:t>需登录“智慧北理”，按照提示填写并提交转专业申请表</w:t>
      </w:r>
      <w:r>
        <w:rPr>
          <w:rFonts w:ascii="宋体" w:hAnsi="宋体" w:eastAsia="宋体" w:cs="Times New Roman"/>
          <w:color w:val="333333"/>
          <w:kern w:val="0"/>
          <w:sz w:val="24"/>
          <w:szCs w:val="24"/>
        </w:rPr>
        <w:t>。</w:t>
      </w:r>
    </w:p>
    <w:p w14:paraId="48C541FF">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2．2024年12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rPr>
        <w:t>9</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2024年12</w:t>
      </w:r>
      <w:r>
        <w:rPr>
          <w:rFonts w:ascii="宋体" w:hAnsi="宋体" w:eastAsia="宋体" w:cs="Times New Roman"/>
          <w:color w:val="333333"/>
          <w:kern w:val="0"/>
          <w:sz w:val="24"/>
          <w:szCs w:val="24"/>
        </w:rPr>
        <w:t>月</w:t>
      </w:r>
      <w:r>
        <w:rPr>
          <w:rFonts w:hint="eastAsia" w:ascii="宋体" w:hAnsi="宋体" w:eastAsia="宋体" w:cs="Times New Roman"/>
          <w:color w:val="333333"/>
          <w:kern w:val="0"/>
          <w:sz w:val="24"/>
          <w:szCs w:val="24"/>
        </w:rPr>
        <w:t>19</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w:t>
      </w:r>
      <w:r>
        <w:rPr>
          <w:rFonts w:ascii="宋体" w:hAnsi="宋体" w:eastAsia="宋体" w:cs="Times New Roman"/>
          <w:color w:val="333333"/>
          <w:kern w:val="0"/>
          <w:sz w:val="24"/>
          <w:szCs w:val="24"/>
        </w:rPr>
        <w:t>面试申请学生，审核相关资料，对初选结果进行公示</w:t>
      </w:r>
      <w:r>
        <w:rPr>
          <w:rFonts w:hint="eastAsia" w:ascii="宋体" w:hAnsi="宋体" w:eastAsia="宋体" w:cs="Times New Roman"/>
          <w:color w:val="333333"/>
          <w:kern w:val="0"/>
          <w:sz w:val="24"/>
          <w:szCs w:val="24"/>
        </w:rPr>
        <w:t>并报教务部</w:t>
      </w:r>
      <w:r>
        <w:rPr>
          <w:rFonts w:ascii="宋体" w:hAnsi="宋体" w:eastAsia="宋体" w:cs="Times New Roman"/>
          <w:color w:val="333333"/>
          <w:kern w:val="0"/>
          <w:sz w:val="24"/>
          <w:szCs w:val="24"/>
        </w:rPr>
        <w:t>。</w:t>
      </w:r>
    </w:p>
    <w:p w14:paraId="611C2BE4">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3．2025年</w:t>
      </w:r>
      <w:r>
        <w:rPr>
          <w:rFonts w:ascii="宋体" w:hAnsi="宋体" w:eastAsia="宋体" w:cs="Times New Roman"/>
          <w:color w:val="333333"/>
          <w:kern w:val="0"/>
          <w:sz w:val="24"/>
          <w:szCs w:val="24"/>
        </w:rPr>
        <w:t>2月</w:t>
      </w:r>
      <w:r>
        <w:rPr>
          <w:rFonts w:hint="eastAsia" w:ascii="宋体" w:hAnsi="宋体" w:eastAsia="宋体" w:cs="Times New Roman"/>
          <w:color w:val="333333"/>
          <w:kern w:val="0"/>
          <w:sz w:val="24"/>
          <w:szCs w:val="24"/>
        </w:rPr>
        <w:t>24</w:t>
      </w:r>
      <w:r>
        <w:rPr>
          <w:rFonts w:ascii="宋体" w:hAnsi="宋体" w:eastAsia="宋体" w:cs="Times New Roman"/>
          <w:color w:val="333333"/>
          <w:kern w:val="0"/>
          <w:sz w:val="24"/>
          <w:szCs w:val="24"/>
        </w:rPr>
        <w:t>日</w:t>
      </w:r>
      <w:r>
        <w:rPr>
          <w:rFonts w:hint="eastAsia" w:ascii="宋体" w:hAnsi="宋体" w:eastAsia="宋体" w:cs="Times New Roman"/>
          <w:color w:val="333333"/>
          <w:kern w:val="0"/>
          <w:sz w:val="24"/>
          <w:szCs w:val="24"/>
        </w:rPr>
        <w:t>前：根据学生第一学期成绩确定正式转专业名单并公示，完成转专业录取，办理相关手续</w:t>
      </w:r>
      <w:r>
        <w:rPr>
          <w:rFonts w:ascii="宋体" w:hAnsi="宋体" w:eastAsia="宋体" w:cs="Times New Roman"/>
          <w:color w:val="333333"/>
          <w:kern w:val="0"/>
          <w:sz w:val="24"/>
          <w:szCs w:val="24"/>
        </w:rPr>
        <w:t>。</w:t>
      </w:r>
    </w:p>
    <w:p w14:paraId="1FD0A846">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4．</w:t>
      </w:r>
      <w:r>
        <w:rPr>
          <w:rFonts w:ascii="宋体" w:hAnsi="宋体" w:eastAsia="宋体" w:cs="Times New Roman"/>
          <w:color w:val="333333"/>
          <w:kern w:val="0"/>
          <w:sz w:val="24"/>
          <w:szCs w:val="24"/>
        </w:rPr>
        <w:t>202</w:t>
      </w:r>
      <w:r>
        <w:rPr>
          <w:rFonts w:hint="eastAsia" w:ascii="宋体" w:hAnsi="宋体" w:eastAsia="宋体" w:cs="Times New Roman"/>
          <w:color w:val="333333"/>
          <w:kern w:val="0"/>
          <w:sz w:val="24"/>
          <w:szCs w:val="24"/>
        </w:rPr>
        <w:t>4</w:t>
      </w:r>
      <w:r>
        <w:rPr>
          <w:rFonts w:ascii="宋体" w:hAnsi="宋体" w:eastAsia="宋体" w:cs="Times New Roman"/>
          <w:color w:val="333333"/>
          <w:kern w:val="0"/>
          <w:sz w:val="24"/>
          <w:szCs w:val="24"/>
        </w:rPr>
        <w:t>-202</w:t>
      </w:r>
      <w:r>
        <w:rPr>
          <w:rFonts w:hint="eastAsia" w:ascii="宋体" w:hAnsi="宋体" w:eastAsia="宋体" w:cs="Times New Roman"/>
          <w:color w:val="333333"/>
          <w:kern w:val="0"/>
          <w:sz w:val="24"/>
          <w:szCs w:val="24"/>
        </w:rPr>
        <w:t>5学年第二学期学生报到日前：学生到书院报到。</w:t>
      </w:r>
    </w:p>
    <w:p w14:paraId="31416590">
      <w:pPr>
        <w:widowControl/>
        <w:shd w:val="clear" w:color="auto" w:fill="FFFFFF"/>
        <w:spacing w:line="360" w:lineRule="auto"/>
        <w:jc w:val="left"/>
        <w:rPr>
          <w:rFonts w:ascii="宋体" w:hAnsi="宋体" w:eastAsia="宋体" w:cs="Times New Roman"/>
          <w:b/>
          <w:color w:val="333333"/>
          <w:kern w:val="0"/>
          <w:sz w:val="24"/>
          <w:szCs w:val="24"/>
        </w:rPr>
      </w:pPr>
      <w:r>
        <w:rPr>
          <w:rFonts w:hint="eastAsia" w:ascii="宋体" w:hAnsi="宋体" w:eastAsia="宋体" w:cs="Times New Roman"/>
          <w:b/>
          <w:color w:val="333333"/>
          <w:kern w:val="0"/>
          <w:sz w:val="24"/>
          <w:szCs w:val="24"/>
        </w:rPr>
        <w:t>六、其他说明</w:t>
      </w:r>
    </w:p>
    <w:p w14:paraId="4C2C0402">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1．转至睿信书院</w:t>
      </w:r>
      <w:r>
        <w:rPr>
          <w:rFonts w:hint="eastAsia" w:ascii="宋体" w:hAnsi="宋体" w:eastAsia="宋体" w:cs="宋体"/>
          <w:color w:val="333333"/>
          <w:kern w:val="0"/>
          <w:sz w:val="24"/>
          <w:szCs w:val="24"/>
        </w:rPr>
        <w:t>相关大类</w:t>
      </w:r>
      <w:r>
        <w:rPr>
          <w:rFonts w:hint="eastAsia" w:ascii="宋体" w:hAnsi="宋体" w:eastAsia="宋体" w:cs="Times New Roman"/>
          <w:color w:val="333333"/>
          <w:kern w:val="0"/>
          <w:sz w:val="24"/>
          <w:szCs w:val="24"/>
        </w:rPr>
        <w:t>后，依据《北京理工大学睿信书院转专业学分认定方案》，由专业责任教授负责对学生已修课程进行学分置换认定，根据认定结果，学生需补足之前未修过但转入专业同年级学生已修过的课程。</w:t>
      </w:r>
    </w:p>
    <w:p w14:paraId="250EC67C">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2．第一学期成绩出现不及格或主干课成绩不达标者不予接收。</w:t>
      </w:r>
    </w:p>
    <w:p w14:paraId="2AC121B2">
      <w:pPr>
        <w:widowControl/>
        <w:shd w:val="clear" w:color="auto" w:fill="FFFFFF"/>
        <w:spacing w:line="360" w:lineRule="auto"/>
        <w:jc w:val="left"/>
        <w:rPr>
          <w:rFonts w:ascii="宋体" w:hAnsi="宋体" w:eastAsia="宋体" w:cs="Times New Roman"/>
          <w:b/>
          <w:color w:val="333333"/>
          <w:kern w:val="0"/>
          <w:sz w:val="24"/>
          <w:szCs w:val="24"/>
        </w:rPr>
      </w:pPr>
      <w:r>
        <w:rPr>
          <w:rFonts w:hint="eastAsia" w:ascii="宋体" w:hAnsi="宋体" w:eastAsia="宋体" w:cs="Times New Roman"/>
          <w:b/>
          <w:color w:val="333333"/>
          <w:kern w:val="0"/>
          <w:sz w:val="24"/>
          <w:szCs w:val="24"/>
        </w:rPr>
        <w:t>七、</w:t>
      </w:r>
      <w:r>
        <w:rPr>
          <w:rFonts w:ascii="宋体" w:hAnsi="宋体" w:eastAsia="宋体" w:cs="Times New Roman"/>
          <w:b/>
          <w:color w:val="333333"/>
          <w:kern w:val="0"/>
          <w:sz w:val="24"/>
          <w:szCs w:val="24"/>
        </w:rPr>
        <w:t>接收工作咨询部门：</w:t>
      </w:r>
    </w:p>
    <w:p w14:paraId="2C118FA0">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睿信书</w:t>
      </w:r>
      <w:r>
        <w:rPr>
          <w:rFonts w:ascii="宋体" w:hAnsi="宋体" w:eastAsia="宋体" w:cs="Times New Roman"/>
          <w:color w:val="333333"/>
          <w:kern w:val="0"/>
          <w:sz w:val="24"/>
          <w:szCs w:val="24"/>
        </w:rPr>
        <w:t>院教学工作办公室</w:t>
      </w:r>
    </w:p>
    <w:p w14:paraId="72DA6CCF">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地点：学生服务中心3</w:t>
      </w:r>
      <w:r>
        <w:rPr>
          <w:rFonts w:ascii="宋体" w:hAnsi="宋体" w:eastAsia="宋体" w:cs="Times New Roman"/>
          <w:color w:val="333333"/>
          <w:kern w:val="0"/>
          <w:sz w:val="24"/>
          <w:szCs w:val="24"/>
        </w:rPr>
        <w:t>05</w:t>
      </w:r>
    </w:p>
    <w:p w14:paraId="271267B1">
      <w:pPr>
        <w:widowControl/>
        <w:shd w:val="clear" w:color="auto" w:fill="FFFFFF"/>
        <w:spacing w:line="360" w:lineRule="auto"/>
        <w:ind w:firstLine="480"/>
        <w:jc w:val="left"/>
        <w:rPr>
          <w:rFonts w:ascii="宋体" w:hAnsi="宋体" w:eastAsia="宋体" w:cs="Times New Roman"/>
          <w:color w:val="333333"/>
          <w:kern w:val="0"/>
          <w:sz w:val="24"/>
          <w:szCs w:val="24"/>
        </w:rPr>
      </w:pPr>
      <w:r>
        <w:rPr>
          <w:rFonts w:ascii="宋体" w:hAnsi="宋体" w:eastAsia="宋体" w:cs="Times New Roman"/>
          <w:color w:val="333333"/>
          <w:kern w:val="0"/>
          <w:sz w:val="24"/>
          <w:szCs w:val="24"/>
        </w:rPr>
        <w:t>联系人：</w:t>
      </w:r>
      <w:r>
        <w:rPr>
          <w:rFonts w:hint="eastAsia" w:ascii="宋体" w:hAnsi="宋体" w:eastAsia="宋体" w:cs="Times New Roman"/>
          <w:color w:val="333333"/>
          <w:kern w:val="0"/>
          <w:sz w:val="24"/>
          <w:szCs w:val="24"/>
        </w:rPr>
        <w:t>康</w:t>
      </w:r>
      <w:r>
        <w:rPr>
          <w:rFonts w:ascii="宋体" w:hAnsi="宋体" w:eastAsia="宋体" w:cs="Times New Roman"/>
          <w:color w:val="333333"/>
          <w:kern w:val="0"/>
          <w:sz w:val="24"/>
          <w:szCs w:val="24"/>
        </w:rPr>
        <w:t>老师</w:t>
      </w:r>
      <w:r>
        <w:rPr>
          <w:rFonts w:hint="eastAsia" w:ascii="宋体" w:hAnsi="宋体" w:eastAsia="宋体" w:cs="Times New Roman"/>
          <w:color w:val="333333"/>
          <w:kern w:val="0"/>
          <w:sz w:val="24"/>
          <w:szCs w:val="24"/>
        </w:rPr>
        <w:t xml:space="preserve">     </w:t>
      </w:r>
      <w:r>
        <w:rPr>
          <w:rFonts w:ascii="宋体" w:hAnsi="宋体" w:eastAsia="宋体" w:cs="Times New Roman"/>
          <w:color w:val="333333"/>
          <w:kern w:val="0"/>
          <w:sz w:val="24"/>
          <w:szCs w:val="24"/>
        </w:rPr>
        <w:t>电话：010-81388096</w:t>
      </w:r>
    </w:p>
    <w:p w14:paraId="4912682E">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ascii="宋体" w:hAnsi="宋体" w:eastAsia="宋体" w:cs="Times New Roman"/>
          <w:color w:val="333333"/>
          <w:kern w:val="0"/>
          <w:sz w:val="24"/>
          <w:szCs w:val="24"/>
        </w:rPr>
        <w:t xml:space="preserve">            </w:t>
      </w:r>
      <w:r>
        <w:rPr>
          <w:rFonts w:hint="eastAsia" w:ascii="宋体" w:hAnsi="宋体" w:eastAsia="宋体" w:cs="Times New Roman"/>
          <w:color w:val="333333"/>
          <w:kern w:val="0"/>
          <w:sz w:val="24"/>
          <w:szCs w:val="24"/>
        </w:rPr>
        <w:t>睿信书院</w:t>
      </w:r>
    </w:p>
    <w:p w14:paraId="332E9FFD">
      <w:pPr>
        <w:widowControl/>
        <w:shd w:val="clear" w:color="auto" w:fill="FFFFFF"/>
        <w:spacing w:line="360" w:lineRule="auto"/>
        <w:ind w:firstLine="48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ab/>
      </w:r>
      <w:r>
        <w:rPr>
          <w:rFonts w:hint="eastAsia" w:ascii="宋体" w:hAnsi="宋体" w:eastAsia="宋体" w:cs="Times New Roman"/>
          <w:color w:val="333333"/>
          <w:kern w:val="0"/>
          <w:sz w:val="24"/>
          <w:szCs w:val="24"/>
        </w:rPr>
        <w:t>2024年1</w:t>
      </w:r>
      <w:r>
        <w:rPr>
          <w:rFonts w:ascii="宋体" w:hAnsi="宋体" w:eastAsia="宋体" w:cs="Times New Roman"/>
          <w:color w:val="333333"/>
          <w:kern w:val="0"/>
          <w:sz w:val="24"/>
          <w:szCs w:val="24"/>
        </w:rPr>
        <w:t>1</w:t>
      </w:r>
      <w:r>
        <w:rPr>
          <w:rFonts w:hint="eastAsia" w:ascii="宋体" w:hAnsi="宋体" w:eastAsia="宋体" w:cs="Times New Roman"/>
          <w:color w:val="333333"/>
          <w:kern w:val="0"/>
          <w:sz w:val="24"/>
          <w:szCs w:val="24"/>
        </w:rPr>
        <w:t>月2</w:t>
      </w:r>
      <w:r>
        <w:rPr>
          <w:rFonts w:hint="eastAsia" w:ascii="宋体" w:hAnsi="宋体" w:eastAsia="宋体" w:cs="Times New Roman"/>
          <w:color w:val="333333"/>
          <w:kern w:val="0"/>
          <w:sz w:val="24"/>
          <w:szCs w:val="24"/>
          <w:lang w:val="en-US" w:eastAsia="zh-CN"/>
        </w:rPr>
        <w:t>7</w:t>
      </w:r>
      <w:r>
        <w:rPr>
          <w:rFonts w:hint="eastAsia" w:ascii="宋体" w:hAnsi="宋体" w:eastAsia="宋体" w:cs="Times New Roman"/>
          <w:color w:val="333333"/>
          <w:kern w:val="0"/>
          <w:sz w:val="24"/>
          <w:szCs w:val="24"/>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BFA09">
    <w:pPr>
      <w:pStyle w:val="6"/>
      <w:jc w:val="right"/>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ArabicDash  \* MERGEFORMAT </w:instrText>
    </w:r>
    <w:r>
      <w:rPr>
        <w:rFonts w:asciiTheme="minorEastAsia" w:hAnsiTheme="minorEastAsia"/>
        <w:sz w:val="28"/>
        <w:szCs w:val="28"/>
      </w:rPr>
      <w:fldChar w:fldCharType="separate"/>
    </w:r>
    <w:r>
      <w:rPr>
        <w:rFonts w:asciiTheme="minorEastAsia" w:hAnsiTheme="minorEastAsia"/>
        <w:sz w:val="28"/>
        <w:szCs w:val="28"/>
      </w:rPr>
      <w:t>- 1 -</w:t>
    </w:r>
    <w:r>
      <w:rPr>
        <w:rFonts w:asciiTheme="minorEastAsia" w:hAnsiTheme="minorEastAsia"/>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2482B">
    <w:pPr>
      <w:pStyle w:val="6"/>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ArabicDash  \* MERGEFORMAT </w:instrText>
    </w:r>
    <w:r>
      <w:rPr>
        <w:rFonts w:asciiTheme="minorEastAsia" w:hAnsiTheme="minorEastAsia"/>
        <w:sz w:val="28"/>
        <w:szCs w:val="28"/>
      </w:rPr>
      <w:fldChar w:fldCharType="separate"/>
    </w:r>
    <w:r>
      <w:rPr>
        <w:rFonts w:asciiTheme="minorEastAsia" w:hAnsiTheme="minorEastAsia"/>
        <w:sz w:val="28"/>
        <w:szCs w:val="28"/>
      </w:rPr>
      <w:t>- 2 -</w:t>
    </w:r>
    <w:r>
      <w:rPr>
        <w:rFonts w:asciiTheme="minorEastAsia" w:hAnsiTheme="minorEastAsia"/>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revisionView w:markup="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2ZmZhNGViNTRhNmQ2YjUyOTA4YTgwYzlkMzE2YjEifQ=="/>
    <w:docVar w:name="KSO_WPS_MARK_KEY" w:val="a4e432b4-fe5e-4914-9335-e9cfd7d435ed"/>
  </w:docVars>
  <w:rsids>
    <w:rsidRoot w:val="00F36D08"/>
    <w:rsid w:val="00056D7F"/>
    <w:rsid w:val="0006016D"/>
    <w:rsid w:val="00076325"/>
    <w:rsid w:val="000975D6"/>
    <w:rsid w:val="000A642F"/>
    <w:rsid w:val="000C74CE"/>
    <w:rsid w:val="000D2394"/>
    <w:rsid w:val="000D679E"/>
    <w:rsid w:val="000F2EB1"/>
    <w:rsid w:val="000F7840"/>
    <w:rsid w:val="00106C1C"/>
    <w:rsid w:val="00136846"/>
    <w:rsid w:val="00136EF2"/>
    <w:rsid w:val="00166996"/>
    <w:rsid w:val="001C73E9"/>
    <w:rsid w:val="001E77B4"/>
    <w:rsid w:val="001F1EAE"/>
    <w:rsid w:val="001F3EA6"/>
    <w:rsid w:val="00227679"/>
    <w:rsid w:val="00261A33"/>
    <w:rsid w:val="00273330"/>
    <w:rsid w:val="00291D69"/>
    <w:rsid w:val="002960CE"/>
    <w:rsid w:val="002D4E40"/>
    <w:rsid w:val="002D7646"/>
    <w:rsid w:val="002E33C5"/>
    <w:rsid w:val="00343303"/>
    <w:rsid w:val="00344863"/>
    <w:rsid w:val="003522D5"/>
    <w:rsid w:val="0038576E"/>
    <w:rsid w:val="003D5653"/>
    <w:rsid w:val="003F31B0"/>
    <w:rsid w:val="00424B2B"/>
    <w:rsid w:val="0044463E"/>
    <w:rsid w:val="004518B3"/>
    <w:rsid w:val="004528B7"/>
    <w:rsid w:val="0046375D"/>
    <w:rsid w:val="00464CA6"/>
    <w:rsid w:val="0047514F"/>
    <w:rsid w:val="004B0C1A"/>
    <w:rsid w:val="004C4FF6"/>
    <w:rsid w:val="004E2466"/>
    <w:rsid w:val="0051277A"/>
    <w:rsid w:val="0051558D"/>
    <w:rsid w:val="0053467B"/>
    <w:rsid w:val="005354E2"/>
    <w:rsid w:val="00536474"/>
    <w:rsid w:val="00551E25"/>
    <w:rsid w:val="00566E5E"/>
    <w:rsid w:val="00577F9B"/>
    <w:rsid w:val="00595D90"/>
    <w:rsid w:val="005B50DB"/>
    <w:rsid w:val="005B7EDD"/>
    <w:rsid w:val="005E3127"/>
    <w:rsid w:val="00606924"/>
    <w:rsid w:val="006A5BF1"/>
    <w:rsid w:val="006A7624"/>
    <w:rsid w:val="006C629A"/>
    <w:rsid w:val="007135F5"/>
    <w:rsid w:val="007146D4"/>
    <w:rsid w:val="007164AD"/>
    <w:rsid w:val="007260BA"/>
    <w:rsid w:val="0073372E"/>
    <w:rsid w:val="00735D6F"/>
    <w:rsid w:val="00760E4A"/>
    <w:rsid w:val="00770367"/>
    <w:rsid w:val="0077770A"/>
    <w:rsid w:val="00793A92"/>
    <w:rsid w:val="007A6324"/>
    <w:rsid w:val="007B013C"/>
    <w:rsid w:val="007B3BB1"/>
    <w:rsid w:val="007E6F27"/>
    <w:rsid w:val="008104AB"/>
    <w:rsid w:val="00832974"/>
    <w:rsid w:val="008563D8"/>
    <w:rsid w:val="00856402"/>
    <w:rsid w:val="00865FA2"/>
    <w:rsid w:val="00876972"/>
    <w:rsid w:val="008827BA"/>
    <w:rsid w:val="008B0B62"/>
    <w:rsid w:val="008B464D"/>
    <w:rsid w:val="008B4FCC"/>
    <w:rsid w:val="008C3542"/>
    <w:rsid w:val="008C716B"/>
    <w:rsid w:val="008E3598"/>
    <w:rsid w:val="00911627"/>
    <w:rsid w:val="0092575F"/>
    <w:rsid w:val="009303FA"/>
    <w:rsid w:val="009362D3"/>
    <w:rsid w:val="009378B3"/>
    <w:rsid w:val="009414B4"/>
    <w:rsid w:val="0094248C"/>
    <w:rsid w:val="009517DD"/>
    <w:rsid w:val="0099522F"/>
    <w:rsid w:val="009B3257"/>
    <w:rsid w:val="009B69AE"/>
    <w:rsid w:val="009C0F03"/>
    <w:rsid w:val="009D7FF7"/>
    <w:rsid w:val="00A01AEB"/>
    <w:rsid w:val="00A01B89"/>
    <w:rsid w:val="00A10898"/>
    <w:rsid w:val="00A15676"/>
    <w:rsid w:val="00A21239"/>
    <w:rsid w:val="00A21E9E"/>
    <w:rsid w:val="00A36377"/>
    <w:rsid w:val="00A5098C"/>
    <w:rsid w:val="00A53141"/>
    <w:rsid w:val="00A83F20"/>
    <w:rsid w:val="00A8728A"/>
    <w:rsid w:val="00A94AF7"/>
    <w:rsid w:val="00AD0C3C"/>
    <w:rsid w:val="00AD57A4"/>
    <w:rsid w:val="00AF46E5"/>
    <w:rsid w:val="00AF4C6B"/>
    <w:rsid w:val="00AF5978"/>
    <w:rsid w:val="00B406C6"/>
    <w:rsid w:val="00B90020"/>
    <w:rsid w:val="00BF17ED"/>
    <w:rsid w:val="00BF5A06"/>
    <w:rsid w:val="00C22554"/>
    <w:rsid w:val="00C80098"/>
    <w:rsid w:val="00C80CBD"/>
    <w:rsid w:val="00C8508D"/>
    <w:rsid w:val="00CC1C2A"/>
    <w:rsid w:val="00D07EED"/>
    <w:rsid w:val="00D3501C"/>
    <w:rsid w:val="00D67A68"/>
    <w:rsid w:val="00D77513"/>
    <w:rsid w:val="00D84B03"/>
    <w:rsid w:val="00D90EC4"/>
    <w:rsid w:val="00D9442A"/>
    <w:rsid w:val="00DB0FF5"/>
    <w:rsid w:val="00DB57A6"/>
    <w:rsid w:val="00DB59D1"/>
    <w:rsid w:val="00E10BB7"/>
    <w:rsid w:val="00E208A8"/>
    <w:rsid w:val="00E22AB4"/>
    <w:rsid w:val="00E44360"/>
    <w:rsid w:val="00E520F9"/>
    <w:rsid w:val="00E572DD"/>
    <w:rsid w:val="00E711C5"/>
    <w:rsid w:val="00E8608F"/>
    <w:rsid w:val="00E946B9"/>
    <w:rsid w:val="00EB19E6"/>
    <w:rsid w:val="00EB574D"/>
    <w:rsid w:val="00EC668D"/>
    <w:rsid w:val="00EF6918"/>
    <w:rsid w:val="00F03362"/>
    <w:rsid w:val="00F34318"/>
    <w:rsid w:val="00F352F1"/>
    <w:rsid w:val="00F3654B"/>
    <w:rsid w:val="00F36D08"/>
    <w:rsid w:val="00F65772"/>
    <w:rsid w:val="00F65FCA"/>
    <w:rsid w:val="00F726D3"/>
    <w:rsid w:val="00F80089"/>
    <w:rsid w:val="00F934C6"/>
    <w:rsid w:val="00F972B9"/>
    <w:rsid w:val="00FB3ED7"/>
    <w:rsid w:val="00FD4859"/>
    <w:rsid w:val="025A529E"/>
    <w:rsid w:val="02F76F90"/>
    <w:rsid w:val="05130263"/>
    <w:rsid w:val="07BB67DE"/>
    <w:rsid w:val="085C0BFC"/>
    <w:rsid w:val="08F04266"/>
    <w:rsid w:val="0995730B"/>
    <w:rsid w:val="0DEF3BD0"/>
    <w:rsid w:val="0EA0228A"/>
    <w:rsid w:val="10F25D7A"/>
    <w:rsid w:val="133F2305"/>
    <w:rsid w:val="17034CBD"/>
    <w:rsid w:val="171A0BFF"/>
    <w:rsid w:val="178B0334"/>
    <w:rsid w:val="17FB7E8F"/>
    <w:rsid w:val="183830CA"/>
    <w:rsid w:val="1A024D9F"/>
    <w:rsid w:val="1B4D4249"/>
    <w:rsid w:val="1BEA723A"/>
    <w:rsid w:val="1D153093"/>
    <w:rsid w:val="1D9D663F"/>
    <w:rsid w:val="1E780B38"/>
    <w:rsid w:val="1EE54067"/>
    <w:rsid w:val="221515FD"/>
    <w:rsid w:val="226A616E"/>
    <w:rsid w:val="23B13F3F"/>
    <w:rsid w:val="24933D37"/>
    <w:rsid w:val="24FB1784"/>
    <w:rsid w:val="26591245"/>
    <w:rsid w:val="26D54936"/>
    <w:rsid w:val="2BC453B2"/>
    <w:rsid w:val="2C0F10F4"/>
    <w:rsid w:val="2E3018DE"/>
    <w:rsid w:val="2E6E3CFB"/>
    <w:rsid w:val="310A799F"/>
    <w:rsid w:val="322841C1"/>
    <w:rsid w:val="325E2E39"/>
    <w:rsid w:val="34856813"/>
    <w:rsid w:val="34B26D13"/>
    <w:rsid w:val="36BB1AA7"/>
    <w:rsid w:val="3819572B"/>
    <w:rsid w:val="3C2E6878"/>
    <w:rsid w:val="3C5502A8"/>
    <w:rsid w:val="3CA1704A"/>
    <w:rsid w:val="3E907376"/>
    <w:rsid w:val="44226CC2"/>
    <w:rsid w:val="443F172A"/>
    <w:rsid w:val="44AE027F"/>
    <w:rsid w:val="456F5F37"/>
    <w:rsid w:val="45F7232A"/>
    <w:rsid w:val="4865056C"/>
    <w:rsid w:val="49853B65"/>
    <w:rsid w:val="49C425C9"/>
    <w:rsid w:val="4ADD1A9D"/>
    <w:rsid w:val="4C8C5620"/>
    <w:rsid w:val="4D671BE9"/>
    <w:rsid w:val="52F1442F"/>
    <w:rsid w:val="55981B26"/>
    <w:rsid w:val="561843C9"/>
    <w:rsid w:val="59B843A4"/>
    <w:rsid w:val="5ACC7530"/>
    <w:rsid w:val="5B791466"/>
    <w:rsid w:val="5BAB5771"/>
    <w:rsid w:val="5EE47C66"/>
    <w:rsid w:val="5F2E68F6"/>
    <w:rsid w:val="61F41846"/>
    <w:rsid w:val="635307EE"/>
    <w:rsid w:val="69BF098B"/>
    <w:rsid w:val="6C621AA2"/>
    <w:rsid w:val="6D015509"/>
    <w:rsid w:val="6F2B261F"/>
    <w:rsid w:val="712C0B94"/>
    <w:rsid w:val="73021F16"/>
    <w:rsid w:val="741C4C2C"/>
    <w:rsid w:val="747F7A09"/>
    <w:rsid w:val="74C356CF"/>
    <w:rsid w:val="759929D8"/>
    <w:rsid w:val="768C7E47"/>
    <w:rsid w:val="76992564"/>
    <w:rsid w:val="793547C6"/>
    <w:rsid w:val="7B237E4F"/>
    <w:rsid w:val="7B385861"/>
    <w:rsid w:val="7BDB2574"/>
    <w:rsid w:val="7D700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link w:val="14"/>
    <w:qFormat/>
    <w:uiPriority w:val="9"/>
    <w:pPr>
      <w:widowControl/>
      <w:spacing w:before="100" w:beforeAutospacing="1" w:after="100" w:afterAutospacing="1"/>
      <w:jc w:val="left"/>
      <w:outlineLvl w:val="1"/>
    </w:pPr>
    <w:rPr>
      <w:rFonts w:ascii="微软雅黑" w:hAnsi="微软雅黑" w:eastAsia="微软雅黑" w:cs="宋体"/>
      <w:b/>
      <w:bCs/>
      <w:kern w:val="0"/>
      <w:sz w:val="36"/>
      <w:szCs w:val="36"/>
    </w:rPr>
  </w:style>
  <w:style w:type="paragraph" w:styleId="4">
    <w:name w:val="heading 4"/>
    <w:basedOn w:val="1"/>
    <w:next w:val="1"/>
    <w:link w:val="15"/>
    <w:qFormat/>
    <w:uiPriority w:val="9"/>
    <w:pPr>
      <w:widowControl/>
      <w:spacing w:before="100" w:beforeAutospacing="1" w:after="100" w:afterAutospacing="1"/>
      <w:jc w:val="left"/>
      <w:outlineLvl w:val="3"/>
    </w:pPr>
    <w:rPr>
      <w:rFonts w:ascii="微软雅黑" w:hAnsi="微软雅黑" w:eastAsia="微软雅黑" w:cs="宋体"/>
      <w:b/>
      <w:bCs/>
      <w:kern w:val="0"/>
      <w:sz w:val="24"/>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bCs/>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 w:type="character" w:customStyle="1" w:styleId="14">
    <w:name w:val="标题 2 字符"/>
    <w:basedOn w:val="10"/>
    <w:link w:val="3"/>
    <w:qFormat/>
    <w:uiPriority w:val="9"/>
    <w:rPr>
      <w:rFonts w:ascii="微软雅黑" w:hAnsi="微软雅黑" w:eastAsia="微软雅黑" w:cs="宋体"/>
      <w:b/>
      <w:bCs/>
      <w:kern w:val="0"/>
      <w:sz w:val="36"/>
      <w:szCs w:val="36"/>
    </w:rPr>
  </w:style>
  <w:style w:type="character" w:customStyle="1" w:styleId="15">
    <w:name w:val="标题 4 字符"/>
    <w:basedOn w:val="10"/>
    <w:link w:val="4"/>
    <w:qFormat/>
    <w:uiPriority w:val="9"/>
    <w:rPr>
      <w:rFonts w:ascii="微软雅黑" w:hAnsi="微软雅黑" w:eastAsia="微软雅黑" w:cs="宋体"/>
      <w:b/>
      <w:bCs/>
      <w:kern w:val="0"/>
      <w:sz w:val="24"/>
      <w:szCs w:val="24"/>
    </w:rPr>
  </w:style>
  <w:style w:type="character" w:customStyle="1" w:styleId="16">
    <w:name w:val="批注框文本 字符"/>
    <w:basedOn w:val="10"/>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1158</Words>
  <Characters>1250</Characters>
  <Lines>9</Lines>
  <Paragraphs>2</Paragraphs>
  <TotalTime>27</TotalTime>
  <ScaleCrop>false</ScaleCrop>
  <LinksUpToDate>false</LinksUpToDate>
  <CharactersWithSpaces>1290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2024-11-27T10:37:00Z</dcterms:created>
  <dc:creator>Jeff</dc:creator>
  <cp:lastModifiedBy>佳佳康</cp:lastModifiedBy>
  <dcterms:modified xsi:type="dcterms:W3CDTF">2024-11-28T02:23:07Z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0A79FC350CFE4B2A837C46D51AAA6E15_12</vt:lpwstr>
  </property>
</Properties>
</file>