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20" w:lineRule="atLeast"/>
        <w:jc w:val="center"/>
        <w:outlineLvl w:val="3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网络空间安全学院202</w:t>
      </w:r>
      <w:r>
        <w:rPr>
          <w:rFonts w:hint="default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-202</w:t>
      </w:r>
      <w:r>
        <w:rPr>
          <w:rFonts w:hint="default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学年第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lang w:val="en-US" w:eastAsia="zh-Hans"/>
        </w:rPr>
        <w:t>一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</w:rPr>
        <w:t>学期接收转专业学生实施办法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 xml:space="preserve">第一条 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根据《北京理工大学本科生学籍管理细则》（北理工办发〔2019〕75号）和教务部《关于202</w:t>
      </w:r>
      <w:r>
        <w:rPr>
          <w:rFonts w:hint="default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-202</w:t>
      </w:r>
      <w:r>
        <w:rPr>
          <w:rFonts w:hint="default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学年第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  <w:lang w:val="en-US" w:eastAsia="zh-Hans"/>
        </w:rPr>
        <w:t>一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学期转专业安排的通知》，结合网络空间安全学院本科专业的实际情况，制定本实施办法。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第二条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接收转专业学生坚持公开、公平、公正的基本原则，确保接收标准严格明确、接收程序高度透明。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第三条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转专业接收工作过程中严格执行集体议事和集体决策制度，工作小组由主管教学工作的副院长（学院）、主管学生工作的副院长（书院）、专业责任教授（学院）、教学干事（学院、书院）、辅导员（书院）等组成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第四条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申请转入网络空间安全学院各专业的学生须符合教务部《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关于202</w:t>
      </w:r>
      <w:r>
        <w:rPr>
          <w:rFonts w:hint="default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-202</w:t>
      </w:r>
      <w:r>
        <w:rPr>
          <w:rFonts w:hint="default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学年第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  <w:lang w:val="en-US" w:eastAsia="zh-Hans"/>
        </w:rPr>
        <w:t>一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学期转专业安排的通知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》中的相关要求，须为北京理工大学在籍注册本科学生；学生必须拥护中国共产党的领导，热爱祖国，遵纪守法，无违反学校纪律受到处分记录；做人诚实守信，无考试作弊行为记录；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Hans"/>
        </w:rPr>
        <w:t>原则上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无不及格课程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优先考虑修过网安相关课程，有专业特长及专业发展潜质的同学。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0"/>
          <w:sz w:val="32"/>
          <w:szCs w:val="32"/>
        </w:rPr>
        <w:t>网络空间安全学院仅接收第一志愿申报网络空间安全学院的学生。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 xml:space="preserve">第五条 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申请人须通过初审和复审，方可转至相关专业学习。初审由专业责任教授牵头的初审小组对申请人材料进行复核与审查。复审由专家组以面试形式考查学生的综合能力和培养潜力，复审采用打分制，总分100分，成绩不足60分不予接收。学院按照专业拟接收人数，对符合条件的学生按照面试成绩排名从高到低择优录取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第六条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根据网络空间安全学院专业实际办学条件、学院办学的总体布局及现有学生人数，专业拟接收人数上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限为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人。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第七条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接收转专业学生工作的时间节点：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11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26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日—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月2日：公布拟接收条件和名额，公布接收转专业学生实施办法；学生将申请表格、成绩单及相关材料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Hans"/>
        </w:rPr>
        <w:t>按照要求在系统上进行提交。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日—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日：面试申请学生，审核相关资料，对初选结果进行公示并报教务部。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日：完成转专业录取，公示正式转专业名单，办理相关手续。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到新专业报到：被批准转专业的学生，到学院和书院注册报到，并主动与教学干事沟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通，做好课表的课程调整工作。</w:t>
      </w:r>
    </w:p>
    <w:p>
      <w:pPr>
        <w:widowControl/>
        <w:shd w:val="clear" w:color="auto" w:fill="FFFFFF"/>
        <w:spacing w:line="360" w:lineRule="auto"/>
        <w:ind w:firstLine="482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第八条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其他说明：转至网络空间安全学院各专业后，参照睿信书院针对大一学年必修课程制定的《北京理工大学睿信书院转专业学分认定方案》以及本学院针对其他学年课程制定的学分认定方案，由各专业责任教授负责对学生已修课程进行学分置换认定，根据认定结果，学生需补足之前未修过但转入专业同年级学生已修过的课程。</w:t>
      </w:r>
    </w:p>
    <w:p>
      <w:pPr>
        <w:widowControl/>
        <w:shd w:val="clear" w:color="auto" w:fill="FFFFFF"/>
        <w:spacing w:line="360" w:lineRule="auto"/>
        <w:ind w:firstLine="482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</w:rPr>
        <w:t>第九条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 接收工作咨询部门：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网安学院教学办公室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联系人：宋老师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电话：68912176-809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邮箱：songxm@bit.edu.cn</w:t>
      </w: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60" w:lineRule="auto"/>
        <w:ind w:firstLine="48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网络空间安全学院</w:t>
      </w: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年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11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</w:rPr>
        <w:t>24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方正小标宋_GBK">
    <w:altName w:val="汉仪书宋二KW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xODk1MmY4NTFlMzI5ZjEwMDFkMmNiNTRmODc5MmUifQ=="/>
  </w:docVars>
  <w:rsids>
    <w:rsidRoot w:val="00F36D08"/>
    <w:rsid w:val="00052E0C"/>
    <w:rsid w:val="0005545D"/>
    <w:rsid w:val="00056D7F"/>
    <w:rsid w:val="00076325"/>
    <w:rsid w:val="000900D2"/>
    <w:rsid w:val="000975D6"/>
    <w:rsid w:val="000A642F"/>
    <w:rsid w:val="000D2394"/>
    <w:rsid w:val="000D2756"/>
    <w:rsid w:val="000F7840"/>
    <w:rsid w:val="00106C1C"/>
    <w:rsid w:val="00136846"/>
    <w:rsid w:val="00166996"/>
    <w:rsid w:val="00177CD0"/>
    <w:rsid w:val="00197AEF"/>
    <w:rsid w:val="001F3EA6"/>
    <w:rsid w:val="0024683E"/>
    <w:rsid w:val="00260D26"/>
    <w:rsid w:val="00273330"/>
    <w:rsid w:val="00291D69"/>
    <w:rsid w:val="002960CE"/>
    <w:rsid w:val="002C521B"/>
    <w:rsid w:val="002D7646"/>
    <w:rsid w:val="00350F97"/>
    <w:rsid w:val="0038576E"/>
    <w:rsid w:val="003B2ABB"/>
    <w:rsid w:val="003D5653"/>
    <w:rsid w:val="00436609"/>
    <w:rsid w:val="00464CA6"/>
    <w:rsid w:val="0047514F"/>
    <w:rsid w:val="004B0C1A"/>
    <w:rsid w:val="004C4FF6"/>
    <w:rsid w:val="004E2466"/>
    <w:rsid w:val="00517403"/>
    <w:rsid w:val="0053467B"/>
    <w:rsid w:val="005354E2"/>
    <w:rsid w:val="00551E25"/>
    <w:rsid w:val="00577F9B"/>
    <w:rsid w:val="005B7EDD"/>
    <w:rsid w:val="005C78AA"/>
    <w:rsid w:val="00606924"/>
    <w:rsid w:val="00665CAE"/>
    <w:rsid w:val="006E3BAF"/>
    <w:rsid w:val="007164AD"/>
    <w:rsid w:val="0073372E"/>
    <w:rsid w:val="00760E4A"/>
    <w:rsid w:val="007A1DBD"/>
    <w:rsid w:val="007B013C"/>
    <w:rsid w:val="007B3BB1"/>
    <w:rsid w:val="007C61C3"/>
    <w:rsid w:val="007E6F27"/>
    <w:rsid w:val="007F5100"/>
    <w:rsid w:val="00832974"/>
    <w:rsid w:val="008563D8"/>
    <w:rsid w:val="008B0B62"/>
    <w:rsid w:val="008B464D"/>
    <w:rsid w:val="008C3542"/>
    <w:rsid w:val="008C716B"/>
    <w:rsid w:val="008D413C"/>
    <w:rsid w:val="0092575F"/>
    <w:rsid w:val="00934B4B"/>
    <w:rsid w:val="009378B3"/>
    <w:rsid w:val="0094248C"/>
    <w:rsid w:val="009B3257"/>
    <w:rsid w:val="009D7FF7"/>
    <w:rsid w:val="009E6C40"/>
    <w:rsid w:val="009F1922"/>
    <w:rsid w:val="009F344C"/>
    <w:rsid w:val="00A01B89"/>
    <w:rsid w:val="00A10898"/>
    <w:rsid w:val="00A15676"/>
    <w:rsid w:val="00A36377"/>
    <w:rsid w:val="00A6077C"/>
    <w:rsid w:val="00AB010B"/>
    <w:rsid w:val="00AB5BE1"/>
    <w:rsid w:val="00AD0C3C"/>
    <w:rsid w:val="00AD57A4"/>
    <w:rsid w:val="00AF5978"/>
    <w:rsid w:val="00B40FAA"/>
    <w:rsid w:val="00B466E9"/>
    <w:rsid w:val="00B71277"/>
    <w:rsid w:val="00B95DC3"/>
    <w:rsid w:val="00BC66A3"/>
    <w:rsid w:val="00BF5A06"/>
    <w:rsid w:val="00C026D7"/>
    <w:rsid w:val="00C22554"/>
    <w:rsid w:val="00C3151B"/>
    <w:rsid w:val="00C448CA"/>
    <w:rsid w:val="00CC1C2A"/>
    <w:rsid w:val="00D07EED"/>
    <w:rsid w:val="00D90EC4"/>
    <w:rsid w:val="00D9442A"/>
    <w:rsid w:val="00E10BB7"/>
    <w:rsid w:val="00E208A8"/>
    <w:rsid w:val="00E520F9"/>
    <w:rsid w:val="00ED3EAF"/>
    <w:rsid w:val="00F352F1"/>
    <w:rsid w:val="00F3654B"/>
    <w:rsid w:val="00F36D08"/>
    <w:rsid w:val="00F65772"/>
    <w:rsid w:val="00F65FCA"/>
    <w:rsid w:val="00F972B9"/>
    <w:rsid w:val="00FA5738"/>
    <w:rsid w:val="00FB11C6"/>
    <w:rsid w:val="00FB3ED7"/>
    <w:rsid w:val="00FB5440"/>
    <w:rsid w:val="06E0339E"/>
    <w:rsid w:val="287A6C1A"/>
    <w:rsid w:val="35225A22"/>
    <w:rsid w:val="4D1971E1"/>
    <w:rsid w:val="5DC23CE7"/>
    <w:rsid w:val="645B47FC"/>
    <w:rsid w:val="68463FB2"/>
    <w:rsid w:val="6AB727A2"/>
    <w:rsid w:val="72693FA8"/>
    <w:rsid w:val="7DF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微软雅黑" w:hAnsi="微软雅黑" w:eastAsia="微软雅黑" w:cs="宋体"/>
      <w:b/>
      <w:bCs/>
      <w:kern w:val="0"/>
      <w:sz w:val="36"/>
      <w:szCs w:val="36"/>
    </w:rPr>
  </w:style>
  <w:style w:type="paragraph" w:styleId="3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微软雅黑" w:hAnsi="微软雅黑" w:eastAsia="微软雅黑" w:cs="宋体"/>
      <w:b/>
      <w:bCs/>
      <w:kern w:val="0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2 字符"/>
    <w:basedOn w:val="8"/>
    <w:link w:val="2"/>
    <w:qFormat/>
    <w:uiPriority w:val="9"/>
    <w:rPr>
      <w:rFonts w:ascii="微软雅黑" w:hAnsi="微软雅黑" w:eastAsia="微软雅黑" w:cs="宋体"/>
      <w:b/>
      <w:bCs/>
      <w:kern w:val="0"/>
      <w:sz w:val="36"/>
      <w:szCs w:val="36"/>
    </w:rPr>
  </w:style>
  <w:style w:type="character" w:customStyle="1" w:styleId="13">
    <w:name w:val="标题 4 字符"/>
    <w:basedOn w:val="8"/>
    <w:link w:val="3"/>
    <w:qFormat/>
    <w:uiPriority w:val="9"/>
    <w:rPr>
      <w:rFonts w:ascii="微软雅黑" w:hAnsi="微软雅黑" w:eastAsia="微软雅黑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1054</Words>
  <Characters>1135</Characters>
  <Lines>8</Lines>
  <Paragraphs>2</Paragraphs>
  <TotalTime>18</TotalTime>
  <ScaleCrop>false</ScaleCrop>
  <LinksUpToDate>false</LinksUpToDate>
  <CharactersWithSpaces>1164</CharactersWithSpaces>
  <Application>WPS Office_4.1.1.6630_F1E327BC-269C-435d-A152-05C5408002CA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2021-12-03T10:14:00Z</dcterms:created>
  <dc:creator>Jeff</dc:creator>
  <cp:lastModifiedBy>Songxm</cp:lastModifiedBy>
  <dcterms:modified xsi:type="dcterms:W3CDTF">2022-11-24T10:51:43Z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2052-4.1.1.6630</vt:lpwstr>
  </property>
  <property fmtid="{D5CDD505-2E9C-101B-9397-08002B2CF9AE}" pid="3" name="ICV">
    <vt:lpwstr>2CC98CAF2F1A4BCA8F71338B10F6EE96</vt:lpwstr>
  </property>
</Properties>
</file>