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44" w:rsidRDefault="005F7E44" w:rsidP="005F7E44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附件1：</w:t>
      </w:r>
    </w:p>
    <w:p w:rsidR="005F7E44" w:rsidRPr="005F7E44" w:rsidRDefault="005F7E44" w:rsidP="005F7E44">
      <w:pPr>
        <w:spacing w:line="560" w:lineRule="exact"/>
        <w:jc w:val="center"/>
        <w:rPr>
          <w:rFonts w:ascii="方正小标宋_GBK" w:eastAsia="方正小标宋_GBK"/>
          <w:b/>
          <w:sz w:val="32"/>
          <w:szCs w:val="32"/>
        </w:rPr>
      </w:pPr>
      <w:r w:rsidRPr="005F7E44">
        <w:rPr>
          <w:rFonts w:ascii="方正小标宋_GBK" w:eastAsia="方正小标宋_GBK" w:hint="eastAsia"/>
          <w:b/>
          <w:sz w:val="32"/>
          <w:szCs w:val="32"/>
        </w:rPr>
        <w:t>课程设置分类及要求</w:t>
      </w:r>
    </w:p>
    <w:p w:rsidR="005F7E44" w:rsidRPr="00B302D7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02D7">
        <w:rPr>
          <w:rFonts w:ascii="仿宋_GB2312" w:eastAsia="仿宋_GB2312" w:hint="eastAsia"/>
          <w:sz w:val="32"/>
          <w:szCs w:val="32"/>
        </w:rPr>
        <w:t>专业培养方案包括通识教育、专业教育，基本框架如下：</w:t>
      </w:r>
    </w:p>
    <w:tbl>
      <w:tblPr>
        <w:tblStyle w:val="a4"/>
        <w:tblW w:w="8080" w:type="dxa"/>
        <w:tblInd w:w="420" w:type="dxa"/>
        <w:tblLook w:val="04A0" w:firstRow="1" w:lastRow="0" w:firstColumn="1" w:lastColumn="0" w:noHBand="0" w:noVBand="1"/>
      </w:tblPr>
      <w:tblGrid>
        <w:gridCol w:w="2625"/>
        <w:gridCol w:w="3187"/>
        <w:gridCol w:w="2268"/>
      </w:tblGrid>
      <w:tr w:rsidR="005F7E44" w:rsidRPr="00B302D7" w:rsidTr="0060740D">
        <w:tc>
          <w:tcPr>
            <w:tcW w:w="5812" w:type="dxa"/>
            <w:gridSpan w:val="2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课程类型</w:t>
            </w:r>
          </w:p>
        </w:tc>
        <w:tc>
          <w:tcPr>
            <w:tcW w:w="2268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学分要求</w:t>
            </w:r>
          </w:p>
        </w:tc>
      </w:tr>
      <w:tr w:rsidR="005F7E44" w:rsidRPr="00B302D7" w:rsidTr="0060740D">
        <w:tc>
          <w:tcPr>
            <w:tcW w:w="2625" w:type="dxa"/>
            <w:vMerge w:val="restart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通识教育</w:t>
            </w:r>
          </w:p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28"/>
                <w:szCs w:val="32"/>
              </w:rPr>
              <w:t>（不超过6</w:t>
            </w:r>
            <w:r w:rsidRPr="00B302D7">
              <w:rPr>
                <w:rFonts w:ascii="仿宋_GB2312" w:eastAsia="仿宋_GB2312"/>
                <w:sz w:val="28"/>
                <w:szCs w:val="32"/>
              </w:rPr>
              <w:t>5</w:t>
            </w:r>
            <w:r w:rsidRPr="00B302D7">
              <w:rPr>
                <w:rFonts w:ascii="仿宋_GB2312" w:eastAsia="仿宋_GB2312" w:hint="eastAsia"/>
                <w:sz w:val="28"/>
                <w:szCs w:val="32"/>
              </w:rPr>
              <w:t>学分）</w:t>
            </w: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思政类</w:t>
            </w:r>
          </w:p>
        </w:tc>
        <w:tc>
          <w:tcPr>
            <w:tcW w:w="2268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B302D7">
              <w:rPr>
                <w:rFonts w:ascii="仿宋_GB2312" w:eastAsia="仿宋_GB2312"/>
                <w:sz w:val="32"/>
                <w:szCs w:val="32"/>
              </w:rPr>
              <w:t>6</w:t>
            </w:r>
            <w:r w:rsidRPr="00B302D7">
              <w:rPr>
                <w:rFonts w:ascii="仿宋_GB2312" w:eastAsia="仿宋_GB2312" w:hint="eastAsia"/>
                <w:sz w:val="32"/>
                <w:szCs w:val="32"/>
              </w:rPr>
              <w:t>学分</w:t>
            </w:r>
          </w:p>
        </w:tc>
      </w:tr>
      <w:tr w:rsidR="005F7E44" w:rsidRPr="00B302D7" w:rsidTr="0060740D">
        <w:tc>
          <w:tcPr>
            <w:tcW w:w="2625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军事理论与军事技能</w:t>
            </w:r>
          </w:p>
        </w:tc>
        <w:tc>
          <w:tcPr>
            <w:tcW w:w="2268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/>
                <w:sz w:val="32"/>
                <w:szCs w:val="32"/>
              </w:rPr>
              <w:t>4</w:t>
            </w:r>
            <w:r w:rsidRPr="00B302D7">
              <w:rPr>
                <w:rFonts w:ascii="仿宋_GB2312" w:eastAsia="仿宋_GB2312" w:hint="eastAsia"/>
                <w:sz w:val="32"/>
                <w:szCs w:val="32"/>
              </w:rPr>
              <w:t>学分</w:t>
            </w:r>
          </w:p>
        </w:tc>
      </w:tr>
      <w:tr w:rsidR="005F7E44" w:rsidRPr="00B302D7" w:rsidTr="0060740D">
        <w:tc>
          <w:tcPr>
            <w:tcW w:w="2625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体育类</w:t>
            </w:r>
          </w:p>
        </w:tc>
        <w:tc>
          <w:tcPr>
            <w:tcW w:w="2268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2学分</w:t>
            </w:r>
          </w:p>
        </w:tc>
      </w:tr>
      <w:tr w:rsidR="005F7E44" w:rsidRPr="00B302D7" w:rsidTr="0060740D">
        <w:tc>
          <w:tcPr>
            <w:tcW w:w="2625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大学生心理素质发展</w:t>
            </w:r>
          </w:p>
        </w:tc>
        <w:tc>
          <w:tcPr>
            <w:tcW w:w="2268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0学分</w:t>
            </w:r>
          </w:p>
        </w:tc>
      </w:tr>
      <w:tr w:rsidR="005F7E44" w:rsidRPr="00B302D7" w:rsidTr="0060740D">
        <w:tc>
          <w:tcPr>
            <w:tcW w:w="2625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外国语言类</w:t>
            </w:r>
          </w:p>
        </w:tc>
        <w:tc>
          <w:tcPr>
            <w:tcW w:w="2268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4-</w:t>
            </w:r>
            <w:r w:rsidRPr="00B302D7">
              <w:rPr>
                <w:rFonts w:ascii="仿宋_GB2312" w:eastAsia="仿宋_GB2312"/>
                <w:sz w:val="32"/>
                <w:szCs w:val="32"/>
              </w:rPr>
              <w:t>8</w:t>
            </w:r>
            <w:r w:rsidRPr="00B302D7">
              <w:rPr>
                <w:rFonts w:ascii="仿宋_GB2312" w:eastAsia="仿宋_GB2312" w:hint="eastAsia"/>
                <w:sz w:val="32"/>
                <w:szCs w:val="32"/>
              </w:rPr>
              <w:t>学分</w:t>
            </w:r>
          </w:p>
        </w:tc>
      </w:tr>
      <w:tr w:rsidR="005F7E44" w:rsidRPr="00B302D7" w:rsidTr="0060740D">
        <w:tc>
          <w:tcPr>
            <w:tcW w:w="2625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人文社会科学类</w:t>
            </w:r>
          </w:p>
        </w:tc>
        <w:tc>
          <w:tcPr>
            <w:tcW w:w="2268" w:type="dxa"/>
            <w:vMerge w:val="restart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按专业及专业大类要求</w:t>
            </w:r>
          </w:p>
        </w:tc>
      </w:tr>
      <w:tr w:rsidR="005F7E44" w:rsidRPr="00B302D7" w:rsidTr="0060740D">
        <w:tc>
          <w:tcPr>
            <w:tcW w:w="2625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自然科学类</w:t>
            </w:r>
          </w:p>
        </w:tc>
        <w:tc>
          <w:tcPr>
            <w:tcW w:w="2268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F7E44" w:rsidRPr="00B302D7" w:rsidTr="0060740D">
        <w:tc>
          <w:tcPr>
            <w:tcW w:w="2625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新生研习与专业导论</w:t>
            </w:r>
          </w:p>
        </w:tc>
        <w:tc>
          <w:tcPr>
            <w:tcW w:w="2268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F7E44" w:rsidRPr="00B302D7" w:rsidTr="0060740D">
        <w:tc>
          <w:tcPr>
            <w:tcW w:w="2625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素质通识课</w:t>
            </w:r>
          </w:p>
        </w:tc>
        <w:tc>
          <w:tcPr>
            <w:tcW w:w="2268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不少于8学分</w:t>
            </w:r>
          </w:p>
        </w:tc>
      </w:tr>
      <w:tr w:rsidR="005F7E44" w:rsidRPr="00B302D7" w:rsidTr="0060740D">
        <w:tc>
          <w:tcPr>
            <w:tcW w:w="2625" w:type="dxa"/>
            <w:vMerge w:val="restart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专业教育</w:t>
            </w:r>
          </w:p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28"/>
                <w:szCs w:val="32"/>
              </w:rPr>
              <w:t>（不超过7</w:t>
            </w:r>
            <w:r w:rsidRPr="00B302D7">
              <w:rPr>
                <w:rFonts w:ascii="仿宋_GB2312" w:eastAsia="仿宋_GB2312"/>
                <w:sz w:val="28"/>
                <w:szCs w:val="32"/>
              </w:rPr>
              <w:t>5</w:t>
            </w:r>
            <w:r w:rsidRPr="00B302D7">
              <w:rPr>
                <w:rFonts w:ascii="仿宋_GB2312" w:eastAsia="仿宋_GB2312" w:hint="eastAsia"/>
                <w:sz w:val="28"/>
                <w:szCs w:val="32"/>
              </w:rPr>
              <w:t>学分）</w:t>
            </w: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专业基础课</w:t>
            </w:r>
          </w:p>
        </w:tc>
        <w:tc>
          <w:tcPr>
            <w:tcW w:w="2268" w:type="dxa"/>
            <w:vMerge w:val="restart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按专业及专业大类要求</w:t>
            </w:r>
          </w:p>
        </w:tc>
      </w:tr>
      <w:tr w:rsidR="005F7E44" w:rsidRPr="00B302D7" w:rsidTr="0060740D">
        <w:tc>
          <w:tcPr>
            <w:tcW w:w="2625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02D7">
              <w:rPr>
                <w:rFonts w:ascii="仿宋_GB2312" w:eastAsia="仿宋_GB2312" w:hint="eastAsia"/>
                <w:sz w:val="32"/>
                <w:szCs w:val="32"/>
              </w:rPr>
              <w:t>专业核心课</w:t>
            </w:r>
          </w:p>
        </w:tc>
        <w:tc>
          <w:tcPr>
            <w:tcW w:w="2268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F7E44" w:rsidRPr="00B302D7" w:rsidTr="0060740D">
        <w:tc>
          <w:tcPr>
            <w:tcW w:w="2625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7" w:type="dxa"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一般专业</w:t>
            </w:r>
            <w:r w:rsidRPr="00B302D7">
              <w:rPr>
                <w:rFonts w:ascii="仿宋_GB2312" w:eastAsia="仿宋_GB2312" w:hint="eastAsia"/>
                <w:sz w:val="32"/>
                <w:szCs w:val="32"/>
              </w:rPr>
              <w:t>课</w:t>
            </w:r>
          </w:p>
        </w:tc>
        <w:tc>
          <w:tcPr>
            <w:tcW w:w="2268" w:type="dxa"/>
            <w:vMerge/>
            <w:vAlign w:val="center"/>
          </w:tcPr>
          <w:p w:rsidR="005F7E44" w:rsidRPr="00B302D7" w:rsidRDefault="005F7E44" w:rsidP="006074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F7E44" w:rsidRPr="00B302D7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02D7">
        <w:rPr>
          <w:rFonts w:ascii="仿宋_GB2312" w:eastAsia="仿宋_GB2312" w:hint="eastAsia"/>
          <w:sz w:val="32"/>
          <w:szCs w:val="32"/>
        </w:rPr>
        <w:t>各部分具体要求如下：</w:t>
      </w:r>
    </w:p>
    <w:p w:rsidR="005F7E44" w:rsidRPr="00B302D7" w:rsidRDefault="005F7E44" w:rsidP="005F7E44">
      <w:pPr>
        <w:pStyle w:val="a3"/>
        <w:numPr>
          <w:ilvl w:val="1"/>
          <w:numId w:val="1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B302D7">
        <w:rPr>
          <w:rFonts w:ascii="仿宋_GB2312" w:eastAsia="仿宋_GB2312" w:hint="eastAsia"/>
          <w:b/>
          <w:sz w:val="32"/>
          <w:szCs w:val="32"/>
        </w:rPr>
        <w:t>通识教育</w:t>
      </w:r>
    </w:p>
    <w:p w:rsidR="005F7E44" w:rsidRPr="00B302D7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02D7">
        <w:rPr>
          <w:rFonts w:ascii="仿宋_GB2312" w:eastAsia="仿宋_GB2312" w:hint="eastAsia"/>
          <w:sz w:val="32"/>
          <w:szCs w:val="32"/>
        </w:rPr>
        <w:t>思政类课程由马克思主义学院负责组织建设，思想政治理论课14学分，形势与政策课2学分；</w:t>
      </w:r>
    </w:p>
    <w:p w:rsidR="005F7E44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02D7">
        <w:rPr>
          <w:rFonts w:ascii="仿宋_GB2312" w:eastAsia="仿宋_GB2312" w:hint="eastAsia"/>
          <w:sz w:val="32"/>
          <w:szCs w:val="32"/>
        </w:rPr>
        <w:t>军事理论2</w:t>
      </w:r>
      <w:r>
        <w:rPr>
          <w:rFonts w:ascii="仿宋_GB2312" w:eastAsia="仿宋_GB2312" w:hint="eastAsia"/>
          <w:sz w:val="32"/>
          <w:szCs w:val="32"/>
        </w:rPr>
        <w:t>学分、军事技能</w:t>
      </w:r>
      <w:r w:rsidRPr="00B302D7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学分，为集中性实践，由党委</w:t>
      </w:r>
      <w:r w:rsidRPr="00B302D7">
        <w:rPr>
          <w:rFonts w:ascii="仿宋_GB2312" w:eastAsia="仿宋_GB2312" w:hint="eastAsia"/>
          <w:sz w:val="32"/>
          <w:szCs w:val="32"/>
        </w:rPr>
        <w:t>武装部负责组织建设；</w:t>
      </w:r>
    </w:p>
    <w:p w:rsidR="005F7E44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02D7">
        <w:rPr>
          <w:rFonts w:ascii="仿宋_GB2312" w:eastAsia="仿宋_GB2312" w:hint="eastAsia"/>
          <w:sz w:val="32"/>
          <w:szCs w:val="32"/>
        </w:rPr>
        <w:t>体育类课程由体育部负责组织建设，学生需在1-</w:t>
      </w:r>
      <w:r w:rsidRPr="00B302D7">
        <w:rPr>
          <w:rFonts w:ascii="仿宋_GB2312" w:eastAsia="仿宋_GB2312"/>
          <w:sz w:val="32"/>
          <w:szCs w:val="32"/>
        </w:rPr>
        <w:t>4</w:t>
      </w:r>
      <w:r w:rsidRPr="00B302D7">
        <w:rPr>
          <w:rFonts w:ascii="仿宋_GB2312" w:eastAsia="仿宋_GB2312" w:hint="eastAsia"/>
          <w:sz w:val="32"/>
          <w:szCs w:val="32"/>
        </w:rPr>
        <w:t>学期完成，每学期1门（0</w:t>
      </w:r>
      <w:r w:rsidRPr="00B302D7">
        <w:rPr>
          <w:rFonts w:ascii="仿宋_GB2312" w:eastAsia="仿宋_GB2312"/>
          <w:sz w:val="32"/>
          <w:szCs w:val="32"/>
        </w:rPr>
        <w:t>.5</w:t>
      </w:r>
      <w:r w:rsidRPr="00B302D7">
        <w:rPr>
          <w:rFonts w:ascii="仿宋_GB2312" w:eastAsia="仿宋_GB2312" w:hint="eastAsia"/>
          <w:sz w:val="32"/>
          <w:szCs w:val="32"/>
        </w:rPr>
        <w:t>学分），共2学分；</w:t>
      </w:r>
    </w:p>
    <w:p w:rsidR="005F7E44" w:rsidRPr="005F7E44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02D7">
        <w:rPr>
          <w:rFonts w:ascii="仿宋_GB2312" w:eastAsia="仿宋_GB2312" w:hint="eastAsia"/>
          <w:sz w:val="32"/>
          <w:szCs w:val="32"/>
        </w:rPr>
        <w:lastRenderedPageBreak/>
        <w:t>大学生心理素质</w:t>
      </w:r>
      <w:r w:rsidR="00CA2E54">
        <w:rPr>
          <w:rFonts w:ascii="仿宋_GB2312" w:eastAsia="仿宋_GB2312" w:hint="eastAsia"/>
          <w:sz w:val="32"/>
          <w:szCs w:val="32"/>
        </w:rPr>
        <w:t>发展</w:t>
      </w:r>
      <w:r w:rsidRPr="00B302D7">
        <w:rPr>
          <w:rFonts w:ascii="仿宋_GB2312" w:eastAsia="仿宋_GB2312" w:hint="eastAsia"/>
          <w:sz w:val="32"/>
          <w:szCs w:val="32"/>
        </w:rPr>
        <w:t>由学生工作部负责组织建设，在第1学期完成，为所有本科生的必修课程，1</w:t>
      </w:r>
      <w:r w:rsidRPr="00B302D7">
        <w:rPr>
          <w:rFonts w:ascii="仿宋_GB2312" w:eastAsia="仿宋_GB2312"/>
          <w:sz w:val="32"/>
          <w:szCs w:val="32"/>
        </w:rPr>
        <w:t>0</w:t>
      </w:r>
      <w:r w:rsidRPr="00B302D7">
        <w:rPr>
          <w:rFonts w:ascii="仿宋_GB2312" w:eastAsia="仿宋_GB2312" w:hint="eastAsia"/>
          <w:sz w:val="32"/>
          <w:szCs w:val="32"/>
        </w:rPr>
        <w:t>学时，0学分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F7E44" w:rsidRPr="00B302D7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02D7">
        <w:rPr>
          <w:rFonts w:ascii="仿宋_GB2312" w:eastAsia="仿宋_GB2312" w:hint="eastAsia"/>
          <w:sz w:val="32"/>
          <w:szCs w:val="32"/>
        </w:rPr>
        <w:t>外国语言类课程由外国语学院负责组织建设。各专业大类根据自身人才培养特色选择4-</w:t>
      </w:r>
      <w:r w:rsidRPr="00B302D7">
        <w:rPr>
          <w:rFonts w:ascii="仿宋_GB2312" w:eastAsia="仿宋_GB2312"/>
          <w:sz w:val="32"/>
          <w:szCs w:val="32"/>
        </w:rPr>
        <w:t>8</w:t>
      </w:r>
      <w:r w:rsidRPr="00B302D7">
        <w:rPr>
          <w:rFonts w:ascii="仿宋_GB2312" w:eastAsia="仿宋_GB2312" w:hint="eastAsia"/>
          <w:sz w:val="32"/>
          <w:szCs w:val="32"/>
        </w:rPr>
        <w:t>学分课程；</w:t>
      </w:r>
    </w:p>
    <w:p w:rsidR="005F7E44" w:rsidRPr="00B302D7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02D7">
        <w:rPr>
          <w:rFonts w:ascii="仿宋_GB2312" w:eastAsia="仿宋_GB2312" w:hint="eastAsia"/>
          <w:sz w:val="32"/>
          <w:szCs w:val="32"/>
        </w:rPr>
        <w:t>自然科学类课程为数学、物理、化学、生命、</w:t>
      </w:r>
      <w:r>
        <w:rPr>
          <w:rFonts w:ascii="仿宋_GB2312" w:eastAsia="仿宋_GB2312" w:hint="eastAsia"/>
          <w:sz w:val="32"/>
          <w:szCs w:val="32"/>
        </w:rPr>
        <w:t>材料、计算机类</w:t>
      </w:r>
      <w:r w:rsidRPr="00B302D7">
        <w:rPr>
          <w:rFonts w:ascii="仿宋_GB2312" w:eastAsia="仿宋_GB2312" w:hint="eastAsia"/>
          <w:sz w:val="32"/>
          <w:szCs w:val="32"/>
        </w:rPr>
        <w:t>基础课程，由数学学院、物理学院、化学与化工学院、生命学院、材料学院、计算机学院等负责组织建设，各专业大类根据自身人才培养特色设定学分；</w:t>
      </w:r>
    </w:p>
    <w:p w:rsidR="005F7E44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人文社会科学类课程包括文学、历史、经管、法律、艺术等</w:t>
      </w:r>
      <w:r w:rsidRPr="00B302D7">
        <w:rPr>
          <w:rFonts w:ascii="仿宋_GB2312" w:eastAsia="仿宋_GB2312" w:hint="eastAsia"/>
          <w:sz w:val="32"/>
          <w:szCs w:val="32"/>
        </w:rPr>
        <w:t>基础课程，由人文学院、</w:t>
      </w:r>
      <w:r>
        <w:rPr>
          <w:rFonts w:ascii="仿宋_GB2312" w:eastAsia="仿宋_GB2312" w:hint="eastAsia"/>
          <w:sz w:val="32"/>
          <w:szCs w:val="32"/>
        </w:rPr>
        <w:t>管理学院、法学院、外国语学院、设计艺术学院和教务部负责组织建设，</w:t>
      </w:r>
      <w:r w:rsidRPr="00B302D7">
        <w:rPr>
          <w:rFonts w:ascii="仿宋_GB2312" w:eastAsia="仿宋_GB2312" w:hint="eastAsia"/>
          <w:sz w:val="32"/>
          <w:szCs w:val="32"/>
        </w:rPr>
        <w:t>各专业大类根据自身人才培养特色设定学分；</w:t>
      </w:r>
    </w:p>
    <w:p w:rsidR="005F7E44" w:rsidRPr="005F7E44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新生研习与专业导论由各专业大类与学院负责组织建设</w:t>
      </w:r>
      <w:r w:rsidRPr="00B302D7">
        <w:rPr>
          <w:rFonts w:ascii="仿宋_GB2312" w:eastAsia="仿宋_GB2312" w:hint="eastAsia"/>
          <w:sz w:val="32"/>
          <w:szCs w:val="32"/>
        </w:rPr>
        <w:t>各专业大类根据自身人才培养特色设定学分；</w:t>
      </w:r>
    </w:p>
    <w:p w:rsidR="005F7E44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素质通识课主要由人文素质教研部负责建设。课程分为</w:t>
      </w:r>
      <w:r w:rsidRPr="0090156F">
        <w:rPr>
          <w:rFonts w:ascii="仿宋_GB2312" w:eastAsia="仿宋_GB2312" w:hint="eastAsia"/>
          <w:sz w:val="32"/>
          <w:szCs w:val="32"/>
        </w:rPr>
        <w:t>中华文化与历史传承、人文科学与自我发展、自然科学与现代技术、社会科学与当代世界、艺术鉴赏与审美体验和</w:t>
      </w:r>
      <w:r w:rsidRPr="0090156F">
        <w:rPr>
          <w:rFonts w:ascii="仿宋_GB2312" w:eastAsia="仿宋_GB2312"/>
          <w:sz w:val="32"/>
          <w:szCs w:val="32"/>
        </w:rPr>
        <w:t>思维</w:t>
      </w:r>
      <w:r w:rsidRPr="0090156F">
        <w:rPr>
          <w:rFonts w:ascii="仿宋_GB2312" w:eastAsia="仿宋_GB2312" w:hint="eastAsia"/>
          <w:sz w:val="32"/>
          <w:szCs w:val="32"/>
        </w:rPr>
        <w:t>素养</w:t>
      </w:r>
      <w:r w:rsidRPr="0090156F">
        <w:rPr>
          <w:rFonts w:ascii="仿宋_GB2312" w:eastAsia="仿宋_GB2312"/>
          <w:sz w:val="32"/>
          <w:szCs w:val="32"/>
        </w:rPr>
        <w:t>与</w:t>
      </w:r>
      <w:r w:rsidRPr="0090156F">
        <w:rPr>
          <w:rFonts w:ascii="仿宋_GB2312" w:eastAsia="仿宋_GB2312" w:hint="eastAsia"/>
          <w:sz w:val="32"/>
          <w:szCs w:val="32"/>
        </w:rPr>
        <w:t>基本</w:t>
      </w:r>
      <w:r w:rsidRPr="0090156F">
        <w:rPr>
          <w:rFonts w:ascii="仿宋_GB2312" w:eastAsia="仿宋_GB2312"/>
          <w:sz w:val="32"/>
          <w:szCs w:val="32"/>
        </w:rPr>
        <w:t>能力</w:t>
      </w:r>
      <w:r w:rsidRPr="0090156F">
        <w:rPr>
          <w:rFonts w:ascii="仿宋_GB2312" w:eastAsia="仿宋_GB2312" w:hint="eastAsia"/>
          <w:sz w:val="32"/>
          <w:szCs w:val="32"/>
        </w:rPr>
        <w:t>六个模块，</w:t>
      </w:r>
      <w:r w:rsidRPr="00B302D7">
        <w:rPr>
          <w:rFonts w:ascii="仿宋_GB2312" w:eastAsia="仿宋_GB2312" w:hint="eastAsia"/>
          <w:sz w:val="32"/>
          <w:szCs w:val="32"/>
        </w:rPr>
        <w:t>学生在校期间根据各专业要求，完成</w:t>
      </w:r>
      <w:r>
        <w:rPr>
          <w:rFonts w:ascii="仿宋_GB2312" w:eastAsia="仿宋_GB2312" w:hint="eastAsia"/>
          <w:sz w:val="32"/>
          <w:szCs w:val="32"/>
        </w:rPr>
        <w:t>不少于8学分的素质通识</w:t>
      </w:r>
      <w:r w:rsidRPr="00B302D7">
        <w:rPr>
          <w:rFonts w:ascii="仿宋_GB2312" w:eastAsia="仿宋_GB2312" w:hint="eastAsia"/>
          <w:sz w:val="32"/>
          <w:szCs w:val="32"/>
        </w:rPr>
        <w:t>课程。</w:t>
      </w:r>
      <w:r w:rsidRPr="0090156F">
        <w:rPr>
          <w:rFonts w:ascii="仿宋_GB2312" w:eastAsia="仿宋_GB2312" w:hint="eastAsia"/>
          <w:b/>
          <w:sz w:val="32"/>
          <w:szCs w:val="32"/>
        </w:rPr>
        <w:t>专业可根据自身人才培养特色</w:t>
      </w:r>
      <w:r>
        <w:rPr>
          <w:rFonts w:ascii="仿宋_GB2312" w:eastAsia="仿宋_GB2312" w:hint="eastAsia"/>
          <w:b/>
          <w:sz w:val="32"/>
          <w:szCs w:val="32"/>
        </w:rPr>
        <w:t>和各课程预期学习成果</w:t>
      </w:r>
      <w:r w:rsidRPr="0090156F">
        <w:rPr>
          <w:rFonts w:ascii="仿宋_GB2312" w:eastAsia="仿宋_GB2312" w:hint="eastAsia"/>
          <w:b/>
          <w:sz w:val="32"/>
          <w:szCs w:val="32"/>
        </w:rPr>
        <w:t>，设定</w:t>
      </w:r>
      <w:r>
        <w:rPr>
          <w:rFonts w:ascii="仿宋_GB2312" w:eastAsia="仿宋_GB2312" w:hint="eastAsia"/>
          <w:b/>
          <w:sz w:val="32"/>
          <w:szCs w:val="32"/>
        </w:rPr>
        <w:t>素质通识课的课程性质为必修、限选和任选课程。专业可按照专业培养目标设定课程选择模块要求，也</w:t>
      </w:r>
      <w:r w:rsidRPr="0090156F">
        <w:rPr>
          <w:rFonts w:ascii="仿宋_GB2312" w:eastAsia="仿宋_GB2312" w:hint="eastAsia"/>
          <w:b/>
          <w:sz w:val="32"/>
          <w:szCs w:val="32"/>
        </w:rPr>
        <w:t>可选择其他专业开放选课的专业教育课程作为本专业素质通识课。</w:t>
      </w:r>
      <w:r w:rsidRPr="00B302D7">
        <w:rPr>
          <w:rFonts w:ascii="仿宋_GB2312" w:eastAsia="仿宋_GB2312" w:hint="eastAsia"/>
          <w:sz w:val="32"/>
          <w:szCs w:val="32"/>
        </w:rPr>
        <w:t>允许学生以“创新创业、社会实践、艺术实践积分”的形式</w:t>
      </w:r>
      <w:r>
        <w:rPr>
          <w:rFonts w:ascii="仿宋_GB2312" w:eastAsia="仿宋_GB2312" w:hint="eastAsia"/>
          <w:sz w:val="32"/>
          <w:szCs w:val="32"/>
        </w:rPr>
        <w:t>实现</w:t>
      </w:r>
      <w:r w:rsidRPr="00B302D7">
        <w:rPr>
          <w:rFonts w:ascii="仿宋_GB2312" w:eastAsia="仿宋_GB2312" w:hint="eastAsia"/>
          <w:sz w:val="32"/>
          <w:szCs w:val="32"/>
        </w:rPr>
        <w:t>相应学分</w:t>
      </w:r>
      <w:r>
        <w:rPr>
          <w:rFonts w:ascii="仿宋_GB2312" w:eastAsia="仿宋_GB2312" w:hint="eastAsia"/>
          <w:sz w:val="32"/>
          <w:szCs w:val="32"/>
        </w:rPr>
        <w:t>转换</w:t>
      </w:r>
      <w:r w:rsidRPr="00B302D7">
        <w:rPr>
          <w:rFonts w:ascii="仿宋_GB2312" w:eastAsia="仿宋_GB2312" w:hint="eastAsia"/>
          <w:sz w:val="32"/>
          <w:szCs w:val="32"/>
        </w:rPr>
        <w:t>，转换方法见</w:t>
      </w:r>
      <w:r w:rsidRPr="00B302D7">
        <w:rPr>
          <w:rFonts w:ascii="仿宋_GB2312" w:eastAsia="仿宋_GB2312" w:hint="eastAsia"/>
          <w:sz w:val="32"/>
          <w:szCs w:val="32"/>
        </w:rPr>
        <w:lastRenderedPageBreak/>
        <w:t>《北京理工大学创新创业、社会实践、艺术实践积分管理办法》及实施细则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F7E44" w:rsidRPr="00B302D7" w:rsidRDefault="005F7E44" w:rsidP="005F7E44">
      <w:pPr>
        <w:pStyle w:val="a3"/>
        <w:numPr>
          <w:ilvl w:val="1"/>
          <w:numId w:val="1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B302D7">
        <w:rPr>
          <w:rFonts w:ascii="仿宋_GB2312" w:eastAsia="仿宋_GB2312" w:hint="eastAsia"/>
          <w:b/>
          <w:sz w:val="32"/>
          <w:szCs w:val="32"/>
        </w:rPr>
        <w:t>专业教育</w:t>
      </w:r>
    </w:p>
    <w:p w:rsidR="005F7E44" w:rsidRPr="00B302D7" w:rsidRDefault="005F7E44" w:rsidP="005F7E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02D7">
        <w:rPr>
          <w:rFonts w:ascii="仿宋_GB2312" w:eastAsia="仿宋_GB2312" w:hint="eastAsia"/>
          <w:sz w:val="32"/>
          <w:szCs w:val="32"/>
        </w:rPr>
        <w:t>专业教育课程分为专业基础课、专业核心课和</w:t>
      </w:r>
      <w:r>
        <w:rPr>
          <w:rFonts w:ascii="仿宋_GB2312" w:eastAsia="仿宋_GB2312" w:hint="eastAsia"/>
          <w:sz w:val="32"/>
          <w:szCs w:val="32"/>
        </w:rPr>
        <w:t>一般专业</w:t>
      </w:r>
      <w:r w:rsidRPr="00B302D7">
        <w:rPr>
          <w:rFonts w:ascii="仿宋_GB2312" w:eastAsia="仿宋_GB2312" w:hint="eastAsia"/>
          <w:sz w:val="32"/>
          <w:szCs w:val="32"/>
        </w:rPr>
        <w:t>课</w:t>
      </w:r>
      <w:r>
        <w:rPr>
          <w:rFonts w:ascii="仿宋_GB2312" w:eastAsia="仿宋_GB2312" w:hint="eastAsia"/>
          <w:sz w:val="32"/>
          <w:szCs w:val="32"/>
        </w:rPr>
        <w:t>（含实习实训类课程</w:t>
      </w:r>
      <w:r w:rsidR="00CA2E54">
        <w:rPr>
          <w:rFonts w:ascii="仿宋_GB2312" w:eastAsia="仿宋_GB2312" w:hint="eastAsia"/>
          <w:sz w:val="32"/>
          <w:szCs w:val="32"/>
        </w:rPr>
        <w:t>及毕业设计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）</w:t>
      </w:r>
      <w:r w:rsidRPr="00B302D7">
        <w:rPr>
          <w:rFonts w:ascii="仿宋_GB2312" w:eastAsia="仿宋_GB2312" w:hint="eastAsia"/>
          <w:sz w:val="32"/>
          <w:szCs w:val="32"/>
        </w:rPr>
        <w:t>。各类专业课程由本专业和相关学院负责组织建设，由各专业根据本专业人才培养目标进行设定，原则上专业基础课+专业核心课不超过1</w:t>
      </w:r>
      <w:r w:rsidRPr="00B302D7">
        <w:rPr>
          <w:rFonts w:ascii="仿宋_GB2312" w:eastAsia="仿宋_GB2312"/>
          <w:sz w:val="32"/>
          <w:szCs w:val="32"/>
        </w:rPr>
        <w:t>2</w:t>
      </w:r>
      <w:r w:rsidRPr="00B302D7">
        <w:rPr>
          <w:rFonts w:ascii="仿宋_GB2312" w:eastAsia="仿宋_GB2312" w:hint="eastAsia"/>
          <w:sz w:val="32"/>
          <w:szCs w:val="32"/>
        </w:rPr>
        <w:t>门。</w:t>
      </w:r>
    </w:p>
    <w:p w:rsidR="00F03D2A" w:rsidRPr="005F7E44" w:rsidRDefault="00F03D2A"/>
    <w:sectPr w:rsidR="00F03D2A" w:rsidRPr="005F7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39" w:rsidRDefault="006E2439" w:rsidP="00CA2E54">
      <w:r>
        <w:separator/>
      </w:r>
    </w:p>
  </w:endnote>
  <w:endnote w:type="continuationSeparator" w:id="0">
    <w:p w:rsidR="006E2439" w:rsidRDefault="006E2439" w:rsidP="00CA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39" w:rsidRDefault="006E2439" w:rsidP="00CA2E54">
      <w:r>
        <w:separator/>
      </w:r>
    </w:p>
  </w:footnote>
  <w:footnote w:type="continuationSeparator" w:id="0">
    <w:p w:rsidR="006E2439" w:rsidRDefault="006E2439" w:rsidP="00CA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0653"/>
    <w:multiLevelType w:val="hybridMultilevel"/>
    <w:tmpl w:val="BF1E7678"/>
    <w:lvl w:ilvl="0" w:tplc="8BCA3B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8C8090FC">
      <w:start w:val="1"/>
      <w:numFmt w:val="decimal"/>
      <w:lvlText w:val="%2、"/>
      <w:lvlJc w:val="left"/>
      <w:pPr>
        <w:ind w:left="117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FF0E31"/>
    <w:multiLevelType w:val="hybridMultilevel"/>
    <w:tmpl w:val="FA4CF42C"/>
    <w:lvl w:ilvl="0" w:tplc="C996FA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44"/>
    <w:rsid w:val="005F7E44"/>
    <w:rsid w:val="006E2439"/>
    <w:rsid w:val="00CA2E54"/>
    <w:rsid w:val="00F0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FD3490-FF2D-41AB-BAC8-7F6FCDC2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E44"/>
    <w:pPr>
      <w:ind w:firstLineChars="200" w:firstLine="420"/>
    </w:pPr>
  </w:style>
  <w:style w:type="table" w:styleId="a4">
    <w:name w:val="Table Grid"/>
    <w:basedOn w:val="a1"/>
    <w:uiPriority w:val="39"/>
    <w:rsid w:val="005F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2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2E5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2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A2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2020-01-16T00:01:00Z</dcterms:created>
  <dcterms:modified xsi:type="dcterms:W3CDTF">2020-01-16T07:17:00Z</dcterms:modified>
</cp:coreProperties>
</file>