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D" w:rsidRDefault="002F69AD" w:rsidP="002F69AD">
      <w:pPr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40"/>
          <w:szCs w:val="40"/>
        </w:rPr>
      </w:pPr>
      <w:r w:rsidRPr="002018B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0"/>
          <w:szCs w:val="40"/>
        </w:rPr>
        <w:t>北京理工大学2013年大类专业设置方案</w:t>
      </w:r>
    </w:p>
    <w:p w:rsidR="002F69AD" w:rsidRPr="00F54E4D" w:rsidRDefault="002F69AD" w:rsidP="002F69AD">
      <w:pPr>
        <w:spacing w:line="100" w:lineRule="exact"/>
        <w:jc w:val="center"/>
        <w:rPr>
          <w:rFonts w:ascii="仿宋_GB2312" w:eastAsia="仿宋_GB2312"/>
          <w:sz w:val="10"/>
          <w:szCs w:val="10"/>
        </w:rPr>
      </w:pPr>
    </w:p>
    <w:tbl>
      <w:tblPr>
        <w:tblW w:w="12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556"/>
        <w:gridCol w:w="3516"/>
        <w:gridCol w:w="5705"/>
      </w:tblGrid>
      <w:tr w:rsidR="002F69AD" w:rsidRPr="002018BF" w:rsidTr="002F69AD">
        <w:trPr>
          <w:trHeight w:val="68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6" w:type="dxa"/>
            <w:shd w:val="clear" w:color="000000" w:fill="FFFFFF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516" w:type="dxa"/>
            <w:shd w:val="clear" w:color="000000" w:fill="FFFFFF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招生专业名称</w:t>
            </w:r>
          </w:p>
        </w:tc>
        <w:tc>
          <w:tcPr>
            <w:tcW w:w="5705" w:type="dxa"/>
            <w:shd w:val="clear" w:color="000000" w:fill="FFFFFF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专业方向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飞行器设计与工程、飞行器动力工程、</w:t>
            </w:r>
          </w:p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航空航天工程、武器发射工程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武器系统与工程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武器系统与工程、弹药工程与爆炸技术、</w:t>
            </w:r>
          </w:p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特种能源技术与工程、安全工程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机械电子工程、探测制导与控制技术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机械工程、工业工程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车辆工程、能源与动力工程、装甲车辆工程、</w:t>
            </w:r>
          </w:p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交通运输、交通工程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光电信息科学与工程、测控技术与仪器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  <w:hideMark/>
          </w:tcPr>
          <w:p w:rsidR="002F69AD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电子信息工程、电子科学与技术、</w:t>
            </w:r>
          </w:p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通信工程、信息对抗技术　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电子信息类（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试</w:t>
            </w: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验班）</w:t>
            </w:r>
          </w:p>
        </w:tc>
        <w:tc>
          <w:tcPr>
            <w:tcW w:w="5705" w:type="dxa"/>
            <w:vMerge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56" w:type="dxa"/>
            <w:vMerge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28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计算机科学与技术、物联网工程</w:t>
            </w:r>
          </w:p>
        </w:tc>
      </w:tr>
      <w:tr w:rsidR="002F69AD" w:rsidRPr="002018BF" w:rsidTr="002F69AD">
        <w:trPr>
          <w:trHeight w:val="51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5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56" w:type="dxa"/>
            <w:shd w:val="clear" w:color="000000" w:fill="FFFFFF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516" w:type="dxa"/>
            <w:shd w:val="clear" w:color="000000" w:fill="FFFFFF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招生专业名称</w:t>
            </w:r>
          </w:p>
        </w:tc>
        <w:tc>
          <w:tcPr>
            <w:tcW w:w="5705" w:type="dxa"/>
            <w:shd w:val="clear" w:color="000000" w:fill="FFFFFF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专业方向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材料科学与工程、高分子材料与工程、</w:t>
            </w:r>
          </w:p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材料化学、材料成型及控制工程、电子封装技术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化工与环境学院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化学工程与工艺、制药工程、</w:t>
            </w:r>
          </w:p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过程装备与控制工程、能源化学工程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生物技术、生物工程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数学与应用数学、信息与计算科学、统计学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理科试验班</w:t>
            </w: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br w:type="page"/>
              <w:t>（数学</w:t>
            </w:r>
            <w:proofErr w:type="gramStart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菁</w:t>
            </w:r>
            <w:proofErr w:type="gramEnd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英班）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理科试验班（物理</w:t>
            </w:r>
            <w:proofErr w:type="gramStart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菁</w:t>
            </w:r>
            <w:proofErr w:type="gramEnd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英班）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化学、应用化学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理科试验班（化学</w:t>
            </w:r>
            <w:proofErr w:type="gramStart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菁</w:t>
            </w:r>
            <w:proofErr w:type="gramEnd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英班）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556" w:type="dxa"/>
            <w:vMerge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工商管理、市场营销、会计学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国际经济与贸易（理）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国际经济与贸易（文）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招生专业名称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专业方向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经济学（理）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经济学（文）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日语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德语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556" w:type="dxa"/>
            <w:vMerge w:val="restart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556" w:type="dxa"/>
            <w:vMerge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产品设计、视觉传达设计、环境设计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徐特立学院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工科试验班（徐特立英才班）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F69AD" w:rsidRPr="002018BF" w:rsidTr="002F69AD">
        <w:trPr>
          <w:trHeight w:val="567"/>
          <w:jc w:val="center"/>
        </w:trPr>
        <w:tc>
          <w:tcPr>
            <w:tcW w:w="12655" w:type="dxa"/>
            <w:gridSpan w:val="4"/>
            <w:shd w:val="clear" w:color="auto" w:fill="auto"/>
            <w:noWrap/>
            <w:vAlign w:val="center"/>
            <w:hideMark/>
          </w:tcPr>
          <w:p w:rsidR="002F69AD" w:rsidRPr="002018BF" w:rsidRDefault="002F69AD" w:rsidP="00973C87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018BF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合   计</w:t>
            </w:r>
          </w:p>
        </w:tc>
      </w:tr>
    </w:tbl>
    <w:p w:rsidR="002F69AD" w:rsidRPr="008D064B" w:rsidRDefault="002F69AD" w:rsidP="002F69AD">
      <w:pPr>
        <w:spacing w:line="50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8D064B">
        <w:rPr>
          <w:rFonts w:ascii="仿宋_GB2312" w:eastAsia="仿宋_GB2312" w:hAnsiTheme="minorEastAsia" w:hint="eastAsia"/>
          <w:sz w:val="24"/>
          <w:szCs w:val="24"/>
        </w:rPr>
        <w:t>备注：1、数学</w:t>
      </w:r>
      <w:proofErr w:type="gramStart"/>
      <w:r w:rsidRPr="008D064B">
        <w:rPr>
          <w:rFonts w:ascii="仿宋_GB2312" w:eastAsia="仿宋_GB2312" w:hAnsiTheme="minorEastAsia" w:hint="eastAsia"/>
          <w:sz w:val="24"/>
          <w:szCs w:val="24"/>
        </w:rPr>
        <w:t>菁</w:t>
      </w:r>
      <w:proofErr w:type="gramEnd"/>
      <w:r w:rsidRPr="008D064B">
        <w:rPr>
          <w:rFonts w:ascii="仿宋_GB2312" w:eastAsia="仿宋_GB2312" w:hAnsiTheme="minorEastAsia" w:hint="eastAsia"/>
          <w:sz w:val="24"/>
          <w:szCs w:val="24"/>
        </w:rPr>
        <w:t>英班、物理</w:t>
      </w:r>
      <w:proofErr w:type="gramStart"/>
      <w:r w:rsidRPr="008D064B">
        <w:rPr>
          <w:rFonts w:ascii="仿宋_GB2312" w:eastAsia="仿宋_GB2312" w:hAnsiTheme="minorEastAsia" w:hint="eastAsia"/>
          <w:sz w:val="24"/>
          <w:szCs w:val="24"/>
        </w:rPr>
        <w:t>菁英班</w:t>
      </w:r>
      <w:proofErr w:type="gramEnd"/>
      <w:r w:rsidRPr="008D064B">
        <w:rPr>
          <w:rFonts w:ascii="仿宋_GB2312" w:eastAsia="仿宋_GB2312" w:hAnsiTheme="minorEastAsia" w:hint="eastAsia"/>
          <w:sz w:val="24"/>
          <w:szCs w:val="24"/>
        </w:rPr>
        <w:t>和化学</w:t>
      </w:r>
      <w:proofErr w:type="gramStart"/>
      <w:r w:rsidRPr="008D064B">
        <w:rPr>
          <w:rFonts w:ascii="仿宋_GB2312" w:eastAsia="仿宋_GB2312" w:hAnsiTheme="minorEastAsia" w:hint="eastAsia"/>
          <w:sz w:val="24"/>
          <w:szCs w:val="24"/>
        </w:rPr>
        <w:t>菁英班</w:t>
      </w:r>
      <w:proofErr w:type="gramEnd"/>
      <w:r w:rsidRPr="008D064B">
        <w:rPr>
          <w:rFonts w:ascii="仿宋_GB2312" w:eastAsia="仿宋_GB2312" w:hAnsiTheme="minorEastAsia" w:hint="eastAsia"/>
          <w:sz w:val="24"/>
          <w:szCs w:val="24"/>
        </w:rPr>
        <w:t>均</w:t>
      </w:r>
      <w:r>
        <w:rPr>
          <w:rFonts w:ascii="仿宋_GB2312" w:eastAsia="仿宋_GB2312" w:hAnsiTheme="minorEastAsia" w:hint="eastAsia"/>
          <w:sz w:val="24"/>
          <w:szCs w:val="24"/>
        </w:rPr>
        <w:t>为</w:t>
      </w:r>
      <w:r w:rsidRPr="008D064B">
        <w:rPr>
          <w:rFonts w:ascii="仿宋_GB2312" w:eastAsia="仿宋_GB2312" w:hAnsiTheme="minorEastAsia" w:hint="eastAsia"/>
          <w:sz w:val="24"/>
          <w:szCs w:val="24"/>
        </w:rPr>
        <w:t>依照</w:t>
      </w:r>
      <w:r>
        <w:rPr>
          <w:rFonts w:ascii="仿宋_GB2312" w:eastAsia="仿宋_GB2312" w:hAnsiTheme="minorEastAsia" w:hint="eastAsia"/>
          <w:sz w:val="24"/>
          <w:szCs w:val="24"/>
        </w:rPr>
        <w:t>学校</w:t>
      </w:r>
      <w:r w:rsidRPr="008D064B">
        <w:rPr>
          <w:rFonts w:ascii="仿宋_GB2312" w:eastAsia="仿宋_GB2312" w:hAnsiTheme="minorEastAsia" w:hint="eastAsia"/>
          <w:sz w:val="24"/>
          <w:szCs w:val="24"/>
        </w:rPr>
        <w:t>与中科院签订协同</w:t>
      </w:r>
      <w:r>
        <w:rPr>
          <w:rFonts w:ascii="仿宋_GB2312" w:eastAsia="仿宋_GB2312" w:hAnsiTheme="minorEastAsia" w:hint="eastAsia"/>
          <w:sz w:val="24"/>
          <w:szCs w:val="24"/>
        </w:rPr>
        <w:t>育</w:t>
      </w:r>
      <w:r w:rsidRPr="008D064B">
        <w:rPr>
          <w:rFonts w:ascii="仿宋_GB2312" w:eastAsia="仿宋_GB2312" w:hAnsiTheme="minorEastAsia" w:hint="eastAsia"/>
          <w:sz w:val="24"/>
          <w:szCs w:val="24"/>
        </w:rPr>
        <w:t>人协议设立</w:t>
      </w:r>
      <w:r>
        <w:rPr>
          <w:rFonts w:ascii="仿宋_GB2312" w:eastAsia="仿宋_GB2312" w:hAnsiTheme="minorEastAsia" w:hint="eastAsia"/>
          <w:sz w:val="24"/>
          <w:szCs w:val="24"/>
        </w:rPr>
        <w:t>的试验班</w:t>
      </w:r>
      <w:r w:rsidRPr="008D064B">
        <w:rPr>
          <w:rFonts w:ascii="仿宋_GB2312" w:eastAsia="仿宋_GB2312" w:hAnsiTheme="minorEastAsia" w:hint="eastAsia"/>
          <w:sz w:val="24"/>
          <w:szCs w:val="24"/>
        </w:rPr>
        <w:t>；</w:t>
      </w:r>
    </w:p>
    <w:p w:rsidR="00A92AB3" w:rsidRPr="002F69AD" w:rsidRDefault="002F69AD" w:rsidP="002F69AD">
      <w:pPr>
        <w:spacing w:line="500" w:lineRule="exact"/>
        <w:jc w:val="left"/>
      </w:pPr>
      <w:r w:rsidRPr="008D064B">
        <w:rPr>
          <w:rFonts w:ascii="仿宋_GB2312" w:eastAsia="仿宋_GB2312" w:hAnsiTheme="minorEastAsia" w:hint="eastAsia"/>
          <w:sz w:val="24"/>
          <w:szCs w:val="24"/>
        </w:rPr>
        <w:t xml:space="preserve">      2、徐特立英才班为“明精计划”在本科教育阶段设立的</w:t>
      </w:r>
      <w:r>
        <w:rPr>
          <w:rFonts w:ascii="仿宋_GB2312" w:eastAsia="仿宋_GB2312" w:hAnsiTheme="minorEastAsia" w:hint="eastAsia"/>
          <w:sz w:val="24"/>
          <w:szCs w:val="24"/>
        </w:rPr>
        <w:t>试</w:t>
      </w:r>
      <w:r w:rsidRPr="008D064B">
        <w:rPr>
          <w:rFonts w:ascii="仿宋_GB2312" w:eastAsia="仿宋_GB2312" w:hAnsiTheme="minorEastAsia" w:hint="eastAsia"/>
          <w:sz w:val="24"/>
          <w:szCs w:val="24"/>
        </w:rPr>
        <w:t>验班。</w:t>
      </w:r>
    </w:p>
    <w:sectPr w:rsidR="00A92AB3" w:rsidRPr="002F69AD" w:rsidSect="00BF166D">
      <w:pgSz w:w="16838" w:h="11906" w:orient="landscape"/>
      <w:pgMar w:top="1588" w:right="1440" w:bottom="1588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9AD"/>
    <w:rsid w:val="002F69AD"/>
    <w:rsid w:val="0058652F"/>
    <w:rsid w:val="0083465E"/>
    <w:rsid w:val="00982221"/>
    <w:rsid w:val="00A32D0D"/>
    <w:rsid w:val="00A92AB3"/>
    <w:rsid w:val="00BB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 w:after="156" w:line="400" w:lineRule="exact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D"/>
    <w:pPr>
      <w:widowControl w:val="0"/>
      <w:spacing w:before="0" w:after="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2013-03-30T06:20:00Z</dcterms:created>
  <dcterms:modified xsi:type="dcterms:W3CDTF">2013-03-30T06:21:00Z</dcterms:modified>
</cp:coreProperties>
</file>