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7B9" w:rsidRPr="004170A9" w:rsidRDefault="000147B9" w:rsidP="000147B9">
      <w:pPr>
        <w:widowControl/>
        <w:spacing w:before="255" w:after="128"/>
        <w:jc w:val="center"/>
        <w:outlineLvl w:val="1"/>
        <w:rPr>
          <w:rFonts w:ascii="Helvetica" w:eastAsia="宋体" w:hAnsi="Helvetica" w:cs="Helvetica"/>
          <w:b/>
          <w:color w:val="000000" w:themeColor="text1"/>
          <w:kern w:val="0"/>
          <w:sz w:val="27"/>
          <w:szCs w:val="27"/>
        </w:rPr>
      </w:pPr>
      <w:r w:rsidRPr="004170A9">
        <w:rPr>
          <w:rFonts w:ascii="Helvetica" w:eastAsia="宋体" w:hAnsi="Helvetica" w:cs="Helvetica"/>
          <w:b/>
          <w:color w:val="000000" w:themeColor="text1"/>
          <w:kern w:val="0"/>
          <w:sz w:val="27"/>
          <w:szCs w:val="27"/>
        </w:rPr>
        <w:t>第三届中国</w:t>
      </w:r>
      <w:r w:rsidRPr="004170A9">
        <w:rPr>
          <w:rFonts w:ascii="Helvetica" w:eastAsia="宋体" w:hAnsi="Helvetica" w:cs="Helvetica"/>
          <w:b/>
          <w:color w:val="000000" w:themeColor="text1"/>
          <w:kern w:val="0"/>
          <w:sz w:val="27"/>
          <w:szCs w:val="27"/>
        </w:rPr>
        <w:t>“</w:t>
      </w:r>
      <w:r w:rsidRPr="004170A9">
        <w:rPr>
          <w:rFonts w:ascii="Helvetica" w:eastAsia="宋体" w:hAnsi="Helvetica" w:cs="Helvetica"/>
          <w:b/>
          <w:color w:val="000000" w:themeColor="text1"/>
          <w:kern w:val="0"/>
          <w:sz w:val="27"/>
          <w:szCs w:val="27"/>
        </w:rPr>
        <w:t>互联网</w:t>
      </w:r>
      <w:r w:rsidRPr="004170A9">
        <w:rPr>
          <w:rFonts w:ascii="Helvetica" w:eastAsia="宋体" w:hAnsi="Helvetica" w:cs="Helvetica"/>
          <w:b/>
          <w:color w:val="000000" w:themeColor="text1"/>
          <w:kern w:val="0"/>
          <w:sz w:val="27"/>
          <w:szCs w:val="27"/>
        </w:rPr>
        <w:t>+”</w:t>
      </w:r>
      <w:r w:rsidRPr="004170A9">
        <w:rPr>
          <w:rFonts w:ascii="Helvetica" w:eastAsia="宋体" w:hAnsi="Helvetica" w:cs="Helvetica"/>
          <w:b/>
          <w:color w:val="000000" w:themeColor="text1"/>
          <w:kern w:val="0"/>
          <w:sz w:val="27"/>
          <w:szCs w:val="27"/>
        </w:rPr>
        <w:t>大学生创新创业大赛全国总决赛评审规则</w:t>
      </w:r>
    </w:p>
    <w:p w:rsidR="000147B9" w:rsidRPr="004170A9" w:rsidRDefault="000147B9" w:rsidP="000147B9">
      <w:pPr>
        <w:widowControl/>
        <w:spacing w:after="128"/>
        <w:jc w:val="center"/>
        <w:rPr>
          <w:rFonts w:ascii="Helvetica" w:eastAsia="宋体" w:hAnsi="Helvetica" w:cs="Helvetica"/>
          <w:color w:val="000000" w:themeColor="text1"/>
          <w:kern w:val="0"/>
          <w:szCs w:val="21"/>
        </w:rPr>
      </w:pPr>
    </w:p>
    <w:p w:rsidR="000147B9" w:rsidRPr="004170A9" w:rsidRDefault="000147B9" w:rsidP="003152E7">
      <w:pPr>
        <w:widowControl/>
        <w:spacing w:line="555" w:lineRule="atLeast"/>
        <w:jc w:val="left"/>
        <w:rPr>
          <w:rFonts w:ascii="Helvetica" w:eastAsia="宋体" w:hAnsi="Helvetica" w:cs="Helvetica"/>
          <w:color w:val="000000" w:themeColor="text1"/>
          <w:kern w:val="0"/>
          <w:sz w:val="27"/>
          <w:szCs w:val="27"/>
        </w:rPr>
      </w:pPr>
      <w:r w:rsidRPr="004170A9">
        <w:rPr>
          <w:rFonts w:ascii="微软雅黑" w:eastAsia="微软雅黑" w:hAnsi="微软雅黑" w:cs="Helvetica" w:hint="eastAsia"/>
          <w:b/>
          <w:bCs/>
          <w:color w:val="000000" w:themeColor="text1"/>
          <w:kern w:val="0"/>
          <w:szCs w:val="21"/>
        </w:rPr>
        <w:t>一、创意组项目评审要点</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665"/>
        <w:gridCol w:w="6525"/>
        <w:gridCol w:w="855"/>
      </w:tblGrid>
      <w:tr w:rsidR="000147B9" w:rsidRPr="004170A9" w:rsidTr="000147B9">
        <w:tc>
          <w:tcPr>
            <w:tcW w:w="166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b/>
                <w:bCs/>
                <w:color w:val="000000" w:themeColor="text1"/>
                <w:kern w:val="0"/>
                <w:sz w:val="24"/>
                <w:szCs w:val="24"/>
              </w:rPr>
              <w:t>评审要点</w:t>
            </w:r>
          </w:p>
        </w:tc>
        <w:tc>
          <w:tcPr>
            <w:tcW w:w="652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b/>
                <w:bCs/>
                <w:color w:val="000000" w:themeColor="text1"/>
                <w:kern w:val="0"/>
                <w:sz w:val="24"/>
                <w:szCs w:val="24"/>
              </w:rPr>
              <w:t>评审内容</w:t>
            </w:r>
          </w:p>
        </w:tc>
        <w:tc>
          <w:tcPr>
            <w:tcW w:w="85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b/>
                <w:bCs/>
                <w:color w:val="000000" w:themeColor="text1"/>
                <w:kern w:val="0"/>
                <w:sz w:val="24"/>
                <w:szCs w:val="24"/>
              </w:rPr>
              <w:t>分值</w:t>
            </w:r>
          </w:p>
        </w:tc>
      </w:tr>
      <w:tr w:rsidR="000147B9" w:rsidRPr="004170A9" w:rsidTr="000147B9">
        <w:tc>
          <w:tcPr>
            <w:tcW w:w="166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创新性</w:t>
            </w:r>
          </w:p>
        </w:tc>
        <w:tc>
          <w:tcPr>
            <w:tcW w:w="652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突出原始创意的价值，不鼓励模仿。强调利用互联网技术、方法和思维在销售、研发、生产、物流、信息、人力、管理等方面寻求突破和创新。鼓励项目与高校科技成果转移转化相结合。</w:t>
            </w:r>
          </w:p>
        </w:tc>
        <w:tc>
          <w:tcPr>
            <w:tcW w:w="85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40</w:t>
            </w:r>
          </w:p>
        </w:tc>
      </w:tr>
      <w:tr w:rsidR="000147B9" w:rsidRPr="004170A9" w:rsidTr="000147B9">
        <w:tc>
          <w:tcPr>
            <w:tcW w:w="166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团队情况</w:t>
            </w:r>
          </w:p>
        </w:tc>
        <w:tc>
          <w:tcPr>
            <w:tcW w:w="652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考察管理团队各成员的教育和工作背景、价值观念、擅长领域，成员的分工和业务互补情况；公司的组织构架、人员配置安排是否科学；创业顾问，主要投资人和持股情况；战略合作企业及其与本项目的关系，团队是否具有实现这种突破的具体方案和可能的资源基础。</w:t>
            </w:r>
          </w:p>
        </w:tc>
        <w:tc>
          <w:tcPr>
            <w:tcW w:w="85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30</w:t>
            </w:r>
          </w:p>
        </w:tc>
      </w:tr>
      <w:tr w:rsidR="000147B9" w:rsidRPr="004170A9" w:rsidTr="000147B9">
        <w:tc>
          <w:tcPr>
            <w:tcW w:w="166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商业性</w:t>
            </w:r>
          </w:p>
        </w:tc>
        <w:tc>
          <w:tcPr>
            <w:tcW w:w="652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在商业模式方面，强调设计的完整性与可行性，完整地描述商业模式，评测其盈利能力推导过程的合理性。在机会识别与利用、竞争与合作、技术基础、产品或服务设计、资金及人员需求、现行法律法规限制等方面具有可行性。在调查研究方面，考察行业调查研究程度，项目市场、技术等调查工作是否形成一手资料，不鼓励文献调查，强调田野调查和实际操作检验。</w:t>
            </w:r>
          </w:p>
        </w:tc>
        <w:tc>
          <w:tcPr>
            <w:tcW w:w="85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25</w:t>
            </w:r>
          </w:p>
        </w:tc>
      </w:tr>
      <w:tr w:rsidR="000147B9" w:rsidRPr="004170A9" w:rsidTr="000147B9">
        <w:tc>
          <w:tcPr>
            <w:tcW w:w="166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带动就业前景</w:t>
            </w:r>
          </w:p>
        </w:tc>
        <w:tc>
          <w:tcPr>
            <w:tcW w:w="652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综合考察项目发展战略和规模扩张策略的合理性和可行性，预判项目可能带动社会就业的能力。</w:t>
            </w:r>
          </w:p>
        </w:tc>
        <w:tc>
          <w:tcPr>
            <w:tcW w:w="85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5</w:t>
            </w:r>
          </w:p>
        </w:tc>
      </w:tr>
    </w:tbl>
    <w:p w:rsidR="000147B9" w:rsidRPr="004170A9" w:rsidRDefault="000147B9" w:rsidP="000147B9">
      <w:pPr>
        <w:widowControl/>
        <w:spacing w:line="555" w:lineRule="atLeast"/>
        <w:ind w:firstLine="705"/>
        <w:jc w:val="left"/>
        <w:rPr>
          <w:rFonts w:ascii="Helvetica" w:eastAsia="宋体" w:hAnsi="Helvetica" w:cs="Helvetica"/>
          <w:color w:val="000000" w:themeColor="text1"/>
          <w:kern w:val="0"/>
          <w:sz w:val="27"/>
          <w:szCs w:val="27"/>
        </w:rPr>
      </w:pPr>
      <w:r w:rsidRPr="004170A9">
        <w:rPr>
          <w:rFonts w:ascii="微软雅黑" w:eastAsia="微软雅黑" w:hAnsi="微软雅黑" w:cs="Helvetica" w:hint="eastAsia"/>
          <w:color w:val="000000" w:themeColor="text1"/>
          <w:kern w:val="0"/>
          <w:szCs w:val="21"/>
        </w:rPr>
        <w:t> </w:t>
      </w:r>
    </w:p>
    <w:p w:rsidR="000147B9" w:rsidRPr="004170A9" w:rsidRDefault="000147B9" w:rsidP="000147B9">
      <w:pPr>
        <w:widowControl/>
        <w:spacing w:line="384" w:lineRule="atLeast"/>
        <w:jc w:val="left"/>
        <w:rPr>
          <w:rFonts w:ascii="Helvetica" w:eastAsia="宋体" w:hAnsi="Helvetica" w:cs="Helvetica"/>
          <w:color w:val="000000" w:themeColor="text1"/>
          <w:kern w:val="0"/>
          <w:sz w:val="27"/>
          <w:szCs w:val="27"/>
        </w:rPr>
      </w:pPr>
      <w:r w:rsidRPr="004170A9">
        <w:rPr>
          <w:rFonts w:ascii="微软雅黑" w:eastAsia="微软雅黑" w:hAnsi="微软雅黑" w:cs="Helvetica" w:hint="eastAsia"/>
          <w:color w:val="000000" w:themeColor="text1"/>
          <w:kern w:val="0"/>
          <w:szCs w:val="21"/>
        </w:rPr>
        <w:br w:type="textWrapping" w:clear="all"/>
      </w:r>
    </w:p>
    <w:p w:rsidR="000147B9" w:rsidRPr="004170A9" w:rsidRDefault="000147B9" w:rsidP="003152E7">
      <w:pPr>
        <w:widowControl/>
        <w:spacing w:line="555" w:lineRule="atLeast"/>
        <w:jc w:val="left"/>
        <w:rPr>
          <w:rFonts w:ascii="Helvetica" w:eastAsia="宋体" w:hAnsi="Helvetica" w:cs="Helvetica"/>
          <w:color w:val="000000" w:themeColor="text1"/>
          <w:kern w:val="0"/>
          <w:sz w:val="27"/>
          <w:szCs w:val="27"/>
        </w:rPr>
      </w:pPr>
      <w:r w:rsidRPr="004170A9">
        <w:rPr>
          <w:rFonts w:ascii="微软雅黑" w:eastAsia="微软雅黑" w:hAnsi="微软雅黑" w:cs="Helvetica" w:hint="eastAsia"/>
          <w:b/>
          <w:bCs/>
          <w:color w:val="000000" w:themeColor="text1"/>
          <w:kern w:val="0"/>
          <w:szCs w:val="21"/>
        </w:rPr>
        <w:lastRenderedPageBreak/>
        <w:t>二、初创组、成长组项目评审要点</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739"/>
        <w:gridCol w:w="6658"/>
        <w:gridCol w:w="783"/>
      </w:tblGrid>
      <w:tr w:rsidR="000147B9" w:rsidRPr="004170A9" w:rsidTr="000147B9">
        <w:tc>
          <w:tcPr>
            <w:tcW w:w="166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345"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b/>
                <w:bCs/>
                <w:color w:val="000000" w:themeColor="text1"/>
                <w:kern w:val="0"/>
                <w:sz w:val="24"/>
                <w:szCs w:val="24"/>
              </w:rPr>
              <w:t>评审要点</w:t>
            </w:r>
          </w:p>
        </w:tc>
        <w:tc>
          <w:tcPr>
            <w:tcW w:w="637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345"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b/>
                <w:bCs/>
                <w:color w:val="000000" w:themeColor="text1"/>
                <w:kern w:val="0"/>
                <w:sz w:val="24"/>
                <w:szCs w:val="24"/>
              </w:rPr>
              <w:t>评审内容</w:t>
            </w:r>
          </w:p>
        </w:tc>
        <w:tc>
          <w:tcPr>
            <w:tcW w:w="75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345"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b/>
                <w:bCs/>
                <w:color w:val="000000" w:themeColor="text1"/>
                <w:kern w:val="0"/>
                <w:sz w:val="24"/>
                <w:szCs w:val="24"/>
              </w:rPr>
              <w:t>分值</w:t>
            </w:r>
          </w:p>
        </w:tc>
      </w:tr>
      <w:tr w:rsidR="000147B9" w:rsidRPr="004170A9" w:rsidTr="000147B9">
        <w:tc>
          <w:tcPr>
            <w:tcW w:w="166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345"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商业性</w:t>
            </w:r>
          </w:p>
        </w:tc>
        <w:tc>
          <w:tcPr>
            <w:tcW w:w="637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345"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在经营绩效方面，重点考察项目存续时间、项目的营业收入、税收上缴、持续盈利能力、市场份额等情况；以及结合项目特点制定合适的市场营销策略，带来良性的业务利润、总资产收益、净资产收益、销售收入增长、投资与产出比等情况。在成长性方面，重点考察项目目标市场容量大小及可扩展性以及该项目是否有合适的计划和可能性（包括人力资源、资金、技术等方面）支持其未来5年的高速成长。在商业模式方面，强调项目设计的完整性与可行性，并给出完整的商业模式描述，以及在机会识别与利用、竞争与合作、技术基础、产品或服务设计、资金及人员需求、现行法律法规限制等方面需具有可行性。在融资方面，强调融资需求及资金使用规划。</w:t>
            </w:r>
          </w:p>
        </w:tc>
        <w:tc>
          <w:tcPr>
            <w:tcW w:w="75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345"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40</w:t>
            </w:r>
          </w:p>
        </w:tc>
      </w:tr>
      <w:tr w:rsidR="000147B9" w:rsidRPr="004170A9" w:rsidTr="000147B9">
        <w:tc>
          <w:tcPr>
            <w:tcW w:w="166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345"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团队情况</w:t>
            </w:r>
          </w:p>
        </w:tc>
        <w:tc>
          <w:tcPr>
            <w:tcW w:w="637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345"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主要考察管理团队各成员有关的教育和工作背景、价值观念、擅长领域，成员的分工和业务互补情况；公司的组织构架、人员配置以及领导层成员；创业顾问，主要投资人和持股情况；战略合作企业及其与本项目的关系。</w:t>
            </w:r>
          </w:p>
        </w:tc>
        <w:tc>
          <w:tcPr>
            <w:tcW w:w="75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345"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30</w:t>
            </w:r>
          </w:p>
        </w:tc>
      </w:tr>
      <w:tr w:rsidR="000147B9" w:rsidRPr="004170A9" w:rsidTr="000147B9">
        <w:tc>
          <w:tcPr>
            <w:tcW w:w="166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345"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创新性</w:t>
            </w:r>
          </w:p>
        </w:tc>
        <w:tc>
          <w:tcPr>
            <w:tcW w:w="637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345"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突出原始创意的价值，不鼓励模仿。强调利用互联网技术、方法、思维在销售、研发、生产、物流、信息、人力、管理等方面寻求突破和创新。鼓励项目与高校科技成果转移转化相结合。</w:t>
            </w:r>
          </w:p>
        </w:tc>
        <w:tc>
          <w:tcPr>
            <w:tcW w:w="75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345"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20</w:t>
            </w:r>
          </w:p>
        </w:tc>
      </w:tr>
      <w:tr w:rsidR="000147B9" w:rsidRPr="004170A9" w:rsidTr="000147B9">
        <w:tc>
          <w:tcPr>
            <w:tcW w:w="166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345"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带动就业情况</w:t>
            </w:r>
          </w:p>
        </w:tc>
        <w:tc>
          <w:tcPr>
            <w:tcW w:w="637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345"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考察项目增加社会就业份额，发展战略和扩张的策略合理性，上下产业链的密切程度和带动效率、其他社会效益。</w:t>
            </w:r>
          </w:p>
        </w:tc>
        <w:tc>
          <w:tcPr>
            <w:tcW w:w="75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345"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10</w:t>
            </w:r>
          </w:p>
        </w:tc>
      </w:tr>
    </w:tbl>
    <w:p w:rsidR="000147B9" w:rsidRPr="004170A9" w:rsidRDefault="000147B9" w:rsidP="000940A8">
      <w:pPr>
        <w:widowControl/>
        <w:spacing w:line="555" w:lineRule="atLeast"/>
        <w:jc w:val="left"/>
        <w:rPr>
          <w:rFonts w:ascii="Helvetica" w:eastAsia="宋体" w:hAnsi="Helvetica" w:cs="Helvetica"/>
          <w:color w:val="000000" w:themeColor="text1"/>
          <w:kern w:val="0"/>
          <w:sz w:val="27"/>
          <w:szCs w:val="27"/>
        </w:rPr>
      </w:pPr>
      <w:bookmarkStart w:id="0" w:name="_GoBack"/>
      <w:bookmarkEnd w:id="0"/>
    </w:p>
    <w:p w:rsidR="000147B9" w:rsidRPr="004170A9" w:rsidRDefault="000147B9" w:rsidP="003152E7">
      <w:pPr>
        <w:widowControl/>
        <w:spacing w:line="555" w:lineRule="atLeast"/>
        <w:jc w:val="left"/>
        <w:outlineLvl w:val="0"/>
        <w:rPr>
          <w:rFonts w:ascii="Helvetica" w:eastAsia="宋体" w:hAnsi="Helvetica" w:cs="Helvetica"/>
          <w:color w:val="000000" w:themeColor="text1"/>
          <w:kern w:val="36"/>
          <w:sz w:val="24"/>
          <w:szCs w:val="24"/>
        </w:rPr>
      </w:pPr>
      <w:r w:rsidRPr="004170A9">
        <w:rPr>
          <w:rFonts w:ascii="微软雅黑" w:eastAsia="微软雅黑" w:hAnsi="微软雅黑" w:cs="Helvetica" w:hint="eastAsia"/>
          <w:b/>
          <w:bCs/>
          <w:color w:val="000000" w:themeColor="text1"/>
          <w:kern w:val="36"/>
          <w:szCs w:val="21"/>
        </w:rPr>
        <w:lastRenderedPageBreak/>
        <w:t>三、就业型创业项目评审要点</w:t>
      </w: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782"/>
        <w:gridCol w:w="1205"/>
        <w:gridCol w:w="4594"/>
        <w:gridCol w:w="1269"/>
      </w:tblGrid>
      <w:tr w:rsidR="000147B9" w:rsidRPr="004170A9" w:rsidTr="000147B9">
        <w:tc>
          <w:tcPr>
            <w:tcW w:w="166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b/>
                <w:bCs/>
                <w:color w:val="000000" w:themeColor="text1"/>
                <w:kern w:val="0"/>
                <w:sz w:val="24"/>
                <w:szCs w:val="24"/>
              </w:rPr>
              <w:t>评审要点</w:t>
            </w:r>
          </w:p>
        </w:tc>
        <w:tc>
          <w:tcPr>
            <w:tcW w:w="1125"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b/>
                <w:bCs/>
                <w:color w:val="000000" w:themeColor="text1"/>
                <w:kern w:val="0"/>
                <w:sz w:val="24"/>
                <w:szCs w:val="24"/>
              </w:rPr>
              <w:t>得分形式</w:t>
            </w:r>
          </w:p>
        </w:tc>
        <w:tc>
          <w:tcPr>
            <w:tcW w:w="429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b/>
                <w:bCs/>
                <w:color w:val="000000" w:themeColor="text1"/>
                <w:kern w:val="0"/>
                <w:sz w:val="24"/>
                <w:szCs w:val="24"/>
              </w:rPr>
              <w:t>评审内容</w:t>
            </w:r>
          </w:p>
        </w:tc>
        <w:tc>
          <w:tcPr>
            <w:tcW w:w="1185" w:type="dxa"/>
            <w:shd w:val="clear" w:color="auto" w:fill="auto"/>
            <w:tcMar>
              <w:top w:w="0" w:type="dxa"/>
              <w:left w:w="105" w:type="dxa"/>
              <w:bottom w:w="0" w:type="dxa"/>
              <w:right w:w="105" w:type="dxa"/>
            </w:tcMa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b/>
                <w:bCs/>
                <w:color w:val="000000" w:themeColor="text1"/>
                <w:kern w:val="0"/>
                <w:sz w:val="24"/>
                <w:szCs w:val="24"/>
              </w:rPr>
              <w:t>分值</w:t>
            </w:r>
          </w:p>
        </w:tc>
      </w:tr>
      <w:tr w:rsidR="000147B9" w:rsidRPr="004170A9" w:rsidTr="000147B9">
        <w:trPr>
          <w:trHeight w:val="480"/>
        </w:trPr>
        <w:tc>
          <w:tcPr>
            <w:tcW w:w="1665" w:type="dxa"/>
            <w:vMerge w:val="restart"/>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项目团队</w:t>
            </w:r>
          </w:p>
        </w:tc>
        <w:tc>
          <w:tcPr>
            <w:tcW w:w="1125" w:type="dxa"/>
            <w:vMerge w:val="restart"/>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加总得分</w:t>
            </w:r>
          </w:p>
        </w:tc>
        <w:tc>
          <w:tcPr>
            <w:tcW w:w="429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团队成员互补与协调性</w:t>
            </w:r>
          </w:p>
        </w:tc>
        <w:tc>
          <w:tcPr>
            <w:tcW w:w="1185" w:type="dxa"/>
            <w:vMerge w:val="restart"/>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20</w:t>
            </w:r>
          </w:p>
        </w:tc>
      </w:tr>
      <w:tr w:rsidR="000147B9" w:rsidRPr="004170A9" w:rsidTr="000147B9">
        <w:trPr>
          <w:trHeight w:val="480"/>
        </w:trPr>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429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组织结构设置合理性</w:t>
            </w: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r>
      <w:tr w:rsidR="000147B9" w:rsidRPr="004170A9" w:rsidTr="000147B9">
        <w:trPr>
          <w:trHeight w:val="480"/>
        </w:trPr>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429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股权结构设置合理性</w:t>
            </w: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r>
      <w:tr w:rsidR="000147B9" w:rsidRPr="004170A9" w:rsidTr="000147B9">
        <w:trPr>
          <w:trHeight w:val="645"/>
        </w:trPr>
        <w:tc>
          <w:tcPr>
            <w:tcW w:w="1665" w:type="dxa"/>
            <w:vMerge w:val="restart"/>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商业性</w:t>
            </w:r>
          </w:p>
        </w:tc>
        <w:tc>
          <w:tcPr>
            <w:tcW w:w="1125" w:type="dxa"/>
            <w:vMerge w:val="restart"/>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加总得分</w:t>
            </w:r>
          </w:p>
        </w:tc>
        <w:tc>
          <w:tcPr>
            <w:tcW w:w="429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生存性和盈利能力</w:t>
            </w:r>
          </w:p>
        </w:tc>
        <w:tc>
          <w:tcPr>
            <w:tcW w:w="1185" w:type="dxa"/>
            <w:vMerge w:val="restart"/>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20</w:t>
            </w:r>
          </w:p>
        </w:tc>
      </w:tr>
      <w:tr w:rsidR="000147B9" w:rsidRPr="004170A9" w:rsidTr="000147B9">
        <w:trPr>
          <w:trHeight w:val="645"/>
        </w:trPr>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429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可行性和完整性</w:t>
            </w: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r>
      <w:tr w:rsidR="000147B9" w:rsidRPr="004170A9" w:rsidTr="000147B9">
        <w:trPr>
          <w:trHeight w:val="645"/>
        </w:trPr>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429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可复制性</w:t>
            </w: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r>
      <w:tr w:rsidR="000147B9" w:rsidRPr="004170A9" w:rsidTr="000147B9">
        <w:trPr>
          <w:trHeight w:val="480"/>
        </w:trPr>
        <w:tc>
          <w:tcPr>
            <w:tcW w:w="1665" w:type="dxa"/>
            <w:vMerge w:val="restart"/>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创新性</w:t>
            </w:r>
          </w:p>
        </w:tc>
        <w:tc>
          <w:tcPr>
            <w:tcW w:w="1125" w:type="dxa"/>
            <w:vMerge w:val="restart"/>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单项得分（满足任一单项得满分）</w:t>
            </w:r>
          </w:p>
        </w:tc>
        <w:tc>
          <w:tcPr>
            <w:tcW w:w="429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岗位创新</w:t>
            </w:r>
          </w:p>
        </w:tc>
        <w:tc>
          <w:tcPr>
            <w:tcW w:w="1185" w:type="dxa"/>
            <w:vMerge w:val="restart"/>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20</w:t>
            </w:r>
          </w:p>
        </w:tc>
      </w:tr>
      <w:tr w:rsidR="000147B9" w:rsidRPr="004170A9" w:rsidTr="000147B9">
        <w:trPr>
          <w:trHeight w:val="480"/>
        </w:trPr>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429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技能创新</w:t>
            </w: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r>
      <w:tr w:rsidR="000147B9" w:rsidRPr="004170A9" w:rsidTr="000147B9">
        <w:trPr>
          <w:trHeight w:val="480"/>
        </w:trPr>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429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技术创新</w:t>
            </w: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r>
      <w:tr w:rsidR="000147B9" w:rsidRPr="004170A9" w:rsidTr="000147B9">
        <w:trPr>
          <w:trHeight w:val="480"/>
        </w:trPr>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429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产业协同创新</w:t>
            </w: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r>
      <w:tr w:rsidR="000147B9" w:rsidRPr="004170A9" w:rsidTr="000147B9">
        <w:trPr>
          <w:trHeight w:val="480"/>
        </w:trPr>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429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模式创新</w:t>
            </w: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r>
      <w:tr w:rsidR="000147B9" w:rsidRPr="004170A9" w:rsidTr="000147B9">
        <w:trPr>
          <w:trHeight w:val="840"/>
        </w:trPr>
        <w:tc>
          <w:tcPr>
            <w:tcW w:w="1665" w:type="dxa"/>
            <w:vMerge w:val="restart"/>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带动就业</w:t>
            </w:r>
          </w:p>
        </w:tc>
        <w:tc>
          <w:tcPr>
            <w:tcW w:w="1125" w:type="dxa"/>
            <w:vMerge w:val="restart"/>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加总得分</w:t>
            </w:r>
          </w:p>
        </w:tc>
        <w:tc>
          <w:tcPr>
            <w:tcW w:w="429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与当地经济发展紧密结合，促进区域社会经济转型升级</w:t>
            </w:r>
          </w:p>
        </w:tc>
        <w:tc>
          <w:tcPr>
            <w:tcW w:w="1185" w:type="dxa"/>
            <w:vMerge w:val="restart"/>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center"/>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40</w:t>
            </w:r>
          </w:p>
        </w:tc>
      </w:tr>
      <w:tr w:rsidR="000147B9" w:rsidRPr="004170A9" w:rsidTr="000147B9">
        <w:trPr>
          <w:trHeight w:val="840"/>
        </w:trPr>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c>
          <w:tcPr>
            <w:tcW w:w="4290" w:type="dxa"/>
            <w:shd w:val="clear" w:color="auto" w:fill="auto"/>
            <w:tcMar>
              <w:top w:w="0" w:type="dxa"/>
              <w:left w:w="105" w:type="dxa"/>
              <w:bottom w:w="0" w:type="dxa"/>
              <w:right w:w="105" w:type="dxa"/>
            </w:tcMar>
            <w:vAlign w:val="center"/>
            <w:hideMark/>
          </w:tcPr>
          <w:p w:rsidR="000147B9" w:rsidRPr="004170A9" w:rsidRDefault="000147B9" w:rsidP="000147B9">
            <w:pPr>
              <w:widowControl/>
              <w:spacing w:line="480" w:lineRule="atLeast"/>
              <w:jc w:val="left"/>
              <w:rPr>
                <w:rFonts w:ascii="宋体" w:eastAsia="宋体" w:hAnsi="宋体" w:cs="宋体"/>
                <w:color w:val="000000" w:themeColor="text1"/>
                <w:kern w:val="0"/>
                <w:sz w:val="24"/>
                <w:szCs w:val="24"/>
              </w:rPr>
            </w:pPr>
            <w:r w:rsidRPr="004170A9">
              <w:rPr>
                <w:rFonts w:ascii="微软雅黑" w:eastAsia="微软雅黑" w:hAnsi="微软雅黑" w:cs="宋体" w:hint="eastAsia"/>
                <w:color w:val="000000" w:themeColor="text1"/>
                <w:kern w:val="0"/>
                <w:szCs w:val="21"/>
              </w:rPr>
              <w:t>带动就业人数</w:t>
            </w:r>
          </w:p>
        </w:tc>
        <w:tc>
          <w:tcPr>
            <w:tcW w:w="0" w:type="auto"/>
            <w:vMerge/>
            <w:shd w:val="clear" w:color="auto" w:fill="auto"/>
            <w:vAlign w:val="center"/>
            <w:hideMark/>
          </w:tcPr>
          <w:p w:rsidR="000147B9" w:rsidRPr="004170A9" w:rsidRDefault="000147B9" w:rsidP="000147B9">
            <w:pPr>
              <w:widowControl/>
              <w:jc w:val="left"/>
              <w:rPr>
                <w:rFonts w:ascii="宋体" w:eastAsia="宋体" w:hAnsi="宋体" w:cs="宋体"/>
                <w:color w:val="000000" w:themeColor="text1"/>
                <w:kern w:val="0"/>
                <w:sz w:val="24"/>
                <w:szCs w:val="24"/>
              </w:rPr>
            </w:pPr>
          </w:p>
        </w:tc>
      </w:tr>
    </w:tbl>
    <w:p w:rsidR="000147B9" w:rsidRPr="004170A9" w:rsidRDefault="000147B9" w:rsidP="000147B9">
      <w:pPr>
        <w:widowControl/>
        <w:spacing w:line="555" w:lineRule="atLeast"/>
        <w:ind w:firstLine="555"/>
        <w:jc w:val="left"/>
        <w:rPr>
          <w:rFonts w:ascii="Helvetica" w:eastAsia="宋体" w:hAnsi="Helvetica" w:cs="Helvetica"/>
          <w:color w:val="000000" w:themeColor="text1"/>
          <w:kern w:val="0"/>
          <w:sz w:val="27"/>
          <w:szCs w:val="27"/>
        </w:rPr>
      </w:pPr>
      <w:r w:rsidRPr="004170A9">
        <w:rPr>
          <w:rFonts w:ascii="微软雅黑" w:eastAsia="微软雅黑" w:hAnsi="微软雅黑" w:cs="Helvetica" w:hint="eastAsia"/>
          <w:color w:val="000000" w:themeColor="text1"/>
          <w:kern w:val="0"/>
          <w:szCs w:val="21"/>
        </w:rPr>
        <w:t>四、评分标准</w:t>
      </w:r>
    </w:p>
    <w:p w:rsidR="000A1D1E" w:rsidRPr="004170A9" w:rsidRDefault="000147B9" w:rsidP="000147B9">
      <w:pPr>
        <w:widowControl/>
        <w:spacing w:line="555" w:lineRule="atLeast"/>
        <w:ind w:firstLine="555"/>
        <w:jc w:val="left"/>
        <w:rPr>
          <w:rFonts w:ascii="Helvetica" w:eastAsia="宋体" w:hAnsi="Helvetica" w:cs="Helvetica"/>
          <w:color w:val="000000" w:themeColor="text1"/>
          <w:kern w:val="0"/>
          <w:sz w:val="27"/>
          <w:szCs w:val="27"/>
        </w:rPr>
      </w:pPr>
      <w:r w:rsidRPr="004170A9">
        <w:rPr>
          <w:rFonts w:ascii="微软雅黑" w:eastAsia="微软雅黑" w:hAnsi="微软雅黑" w:cs="Helvetica" w:hint="eastAsia"/>
          <w:color w:val="000000" w:themeColor="text1"/>
          <w:kern w:val="0"/>
          <w:szCs w:val="21"/>
        </w:rPr>
        <w:t>评分标准</w:t>
      </w:r>
      <w:r w:rsidRPr="004170A9">
        <w:rPr>
          <w:rFonts w:ascii="微软雅黑" w:eastAsia="微软雅黑" w:hAnsi="微软雅黑" w:cs="Helvetica" w:hint="eastAsia"/>
          <w:b/>
          <w:bCs/>
          <w:color w:val="000000" w:themeColor="text1"/>
          <w:kern w:val="0"/>
          <w:szCs w:val="21"/>
        </w:rPr>
        <w:t>：</w:t>
      </w:r>
      <w:r w:rsidRPr="004170A9">
        <w:rPr>
          <w:rFonts w:ascii="微软雅黑" w:eastAsia="微软雅黑" w:hAnsi="微软雅黑" w:cs="Helvetica" w:hint="eastAsia"/>
          <w:color w:val="000000" w:themeColor="text1"/>
          <w:kern w:val="0"/>
          <w:szCs w:val="21"/>
        </w:rPr>
        <w:t>优秀：100-85分，良好：85-70分，一般：70-55分，差：55-0。</w:t>
      </w:r>
    </w:p>
    <w:sectPr w:rsidR="000A1D1E" w:rsidRPr="004170A9" w:rsidSect="0015039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49B" w:rsidRDefault="001B649B" w:rsidP="004170A9">
      <w:r>
        <w:separator/>
      </w:r>
    </w:p>
  </w:endnote>
  <w:endnote w:type="continuationSeparator" w:id="1">
    <w:p w:rsidR="001B649B" w:rsidRDefault="001B649B" w:rsidP="004170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49B" w:rsidRDefault="001B649B" w:rsidP="004170A9">
      <w:r>
        <w:separator/>
      </w:r>
    </w:p>
  </w:footnote>
  <w:footnote w:type="continuationSeparator" w:id="1">
    <w:p w:rsidR="001B649B" w:rsidRDefault="001B649B" w:rsidP="004170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7B9"/>
    <w:rsid w:val="000147B9"/>
    <w:rsid w:val="000919DC"/>
    <w:rsid w:val="000940A8"/>
    <w:rsid w:val="000A1D1E"/>
    <w:rsid w:val="00150393"/>
    <w:rsid w:val="001B649B"/>
    <w:rsid w:val="003152E7"/>
    <w:rsid w:val="004170A9"/>
    <w:rsid w:val="00C2627A"/>
    <w:rsid w:val="00D372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393"/>
    <w:pPr>
      <w:widowControl w:val="0"/>
      <w:jc w:val="both"/>
    </w:pPr>
  </w:style>
  <w:style w:type="paragraph" w:styleId="1">
    <w:name w:val="heading 1"/>
    <w:basedOn w:val="a"/>
    <w:link w:val="1Char"/>
    <w:uiPriority w:val="9"/>
    <w:qFormat/>
    <w:rsid w:val="000147B9"/>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0147B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147B9"/>
    <w:rPr>
      <w:rFonts w:ascii="宋体" w:eastAsia="宋体" w:hAnsi="宋体" w:cs="宋体"/>
      <w:b/>
      <w:bCs/>
      <w:kern w:val="36"/>
      <w:sz w:val="48"/>
      <w:szCs w:val="48"/>
    </w:rPr>
  </w:style>
  <w:style w:type="character" w:customStyle="1" w:styleId="2Char">
    <w:name w:val="标题 2 Char"/>
    <w:basedOn w:val="a0"/>
    <w:link w:val="2"/>
    <w:uiPriority w:val="9"/>
    <w:rsid w:val="000147B9"/>
    <w:rPr>
      <w:rFonts w:ascii="宋体" w:eastAsia="宋体" w:hAnsi="宋体" w:cs="宋体"/>
      <w:b/>
      <w:bCs/>
      <w:kern w:val="0"/>
      <w:sz w:val="36"/>
      <w:szCs w:val="36"/>
    </w:rPr>
  </w:style>
  <w:style w:type="paragraph" w:customStyle="1" w:styleId="dynamic-time">
    <w:name w:val="dynamic-time"/>
    <w:basedOn w:val="a"/>
    <w:rsid w:val="000147B9"/>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0147B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147B9"/>
    <w:rPr>
      <w:b/>
      <w:bCs/>
    </w:rPr>
  </w:style>
  <w:style w:type="paragraph" w:styleId="a5">
    <w:name w:val="Balloon Text"/>
    <w:basedOn w:val="a"/>
    <w:link w:val="Char"/>
    <w:uiPriority w:val="99"/>
    <w:semiHidden/>
    <w:unhideWhenUsed/>
    <w:rsid w:val="000940A8"/>
    <w:rPr>
      <w:sz w:val="18"/>
      <w:szCs w:val="18"/>
    </w:rPr>
  </w:style>
  <w:style w:type="character" w:customStyle="1" w:styleId="Char">
    <w:name w:val="批注框文本 Char"/>
    <w:basedOn w:val="a0"/>
    <w:link w:val="a5"/>
    <w:uiPriority w:val="99"/>
    <w:semiHidden/>
    <w:rsid w:val="000940A8"/>
    <w:rPr>
      <w:sz w:val="18"/>
      <w:szCs w:val="18"/>
    </w:rPr>
  </w:style>
  <w:style w:type="paragraph" w:styleId="a6">
    <w:name w:val="header"/>
    <w:basedOn w:val="a"/>
    <w:link w:val="Char0"/>
    <w:uiPriority w:val="99"/>
    <w:semiHidden/>
    <w:unhideWhenUsed/>
    <w:rsid w:val="004170A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4170A9"/>
    <w:rPr>
      <w:sz w:val="18"/>
      <w:szCs w:val="18"/>
    </w:rPr>
  </w:style>
  <w:style w:type="paragraph" w:styleId="a7">
    <w:name w:val="footer"/>
    <w:basedOn w:val="a"/>
    <w:link w:val="Char1"/>
    <w:uiPriority w:val="99"/>
    <w:semiHidden/>
    <w:unhideWhenUsed/>
    <w:rsid w:val="004170A9"/>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4170A9"/>
    <w:rPr>
      <w:sz w:val="18"/>
      <w:szCs w:val="18"/>
    </w:rPr>
  </w:style>
</w:styles>
</file>

<file path=word/webSettings.xml><?xml version="1.0" encoding="utf-8"?>
<w:webSettings xmlns:r="http://schemas.openxmlformats.org/officeDocument/2006/relationships" xmlns:w="http://schemas.openxmlformats.org/wordprocessingml/2006/main">
  <w:divs>
    <w:div w:id="1667515487">
      <w:bodyDiv w:val="1"/>
      <w:marLeft w:val="0"/>
      <w:marRight w:val="0"/>
      <w:marTop w:val="0"/>
      <w:marBottom w:val="0"/>
      <w:divBdr>
        <w:top w:val="none" w:sz="0" w:space="0" w:color="auto"/>
        <w:left w:val="none" w:sz="0" w:space="0" w:color="auto"/>
        <w:bottom w:val="none" w:sz="0" w:space="0" w:color="auto"/>
        <w:right w:val="none" w:sz="0" w:space="0" w:color="auto"/>
      </w:divBdr>
      <w:divsChild>
        <w:div w:id="9869734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207</Words>
  <Characters>1185</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刘媛</dc:creator>
  <cp:keywords/>
  <dc:description/>
  <cp:lastModifiedBy>CH</cp:lastModifiedBy>
  <cp:revision>7</cp:revision>
  <cp:lastPrinted>2017-04-11T03:26:00Z</cp:lastPrinted>
  <dcterms:created xsi:type="dcterms:W3CDTF">2017-03-28T03:14:00Z</dcterms:created>
  <dcterms:modified xsi:type="dcterms:W3CDTF">2017-04-11T03:37:00Z</dcterms:modified>
</cp:coreProperties>
</file>